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83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石家庄市律师协会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行业发展战略委员会走访律所调研清单</w:t>
      </w:r>
    </w:p>
    <w:p>
      <w:pPr>
        <w:rPr>
          <w:rFonts w:hint="eastAsia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调研律所：                                                   调研方式：</w:t>
      </w:r>
    </w:p>
    <w:p>
      <w:pPr>
        <w:rPr>
          <w:rFonts w:hint="default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调研人员：                                                   调研时间：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9"/>
        <w:gridCol w:w="492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调研清单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8"/>
                <w:szCs w:val="28"/>
                <w:highlight w:val="green"/>
              </w:rPr>
            </w:pPr>
            <w:bookmarkStart w:id="1" w:name="_GoBack"/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调研作答</w:t>
            </w:r>
            <w:bookmarkEnd w:id="1"/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党建工作情况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highlight w:val="gree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Hans"/>
              </w:rPr>
              <w:t>党员律师数量及占比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highlight w:val="green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党建设施是否配置齐全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7" w:firstLineChars="14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是否配备党员活动室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7" w:firstLineChars="14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是否配备党建文化墙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337" w:firstLineChars="140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是否引进数字化党建宣传系统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党建活动举办情况及党课学习情况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党建带所建、所建促党建的典型事例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推广党建工作经验做法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，例党建共建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</w:pPr>
            <w:bookmarkStart w:id="0" w:name="_Toc171071451"/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律所规范化管理情况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Hans"/>
              </w:rPr>
              <w:t>是否建立</w:t>
            </w:r>
            <w:r>
              <w:rPr>
                <w:rFonts w:hint="eastAsia" w:ascii="宋体" w:hAnsi="宋体" w:eastAsia="宋体" w:cs="宋体"/>
                <w:sz w:val="24"/>
                <w:highlight w:val="none"/>
                <w:lang w:val="en-US" w:eastAsia="zh-CN"/>
              </w:rPr>
              <w:t>完备的运营管理体系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业务合规制度及运行情况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收案收费制度及管理制度规范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是否有完善的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投诉、利冲等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风险防控机制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是否建立律师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奖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惩机制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三、律所信息化管理情况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数智化办公系统硬件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337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是否为律师配置高效电脑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打印机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扫描仪等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337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是否建立了稳定的网络环境及数据中心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确保数据安全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</w:rPr>
              <w:t>数智化办公系统软件情况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是否有品牌网站、客户管理系统、律师办公系统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，如是否提供北大法宝、威科先行、阿尔法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数据支持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是否能实现各部门信息及时有效对接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等情况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  <w:t>四、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律所理论水平提升情况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与各高校、科研机构、学会等机构建立合作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实务理论交流情况，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著书立说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专业培训和研讨会开展情况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是否建立理论水平提升培养机制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337" w:firstLineChars="14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是否有年度培训计划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337" w:firstLineChars="140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是否有多样化培训方式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ind w:firstLine="337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是否有有效的培训评价体系搭建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五、涉外业务开展情况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涉外律师数量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等相关情况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涉外案件数量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等相关情况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涉外案件类型及收费等情况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5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六、专业化开展情况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专业部门或团队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建设情况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专业化开展的制度保障及实施情况；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专业部门业务领域及活动开展情况，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包括但不限于是否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形成举办专业培训体系、是否已形成支撑性领域、举办专业性比赛等情况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是否研发法律服务产品，是否紧跟时事热点开拓新领域或侧重开展中高端专业领域业务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等情况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。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七、参政议政情况</w:t>
            </w:r>
          </w:p>
        </w:tc>
        <w:tc>
          <w:tcPr>
            <w:tcW w:w="4920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</w:pPr>
          </w:p>
        </w:tc>
        <w:tc>
          <w:tcPr>
            <w:tcW w:w="1626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担任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各级人大代表、政协委员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；、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人大代表及政协委员的提案或建议被采纳、批复情况；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参与基层治理、涉诉信访、矛盾纠纷化解、公共突发事件处置等工作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参与义务普法宣传、法律咨询等社会公益活动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律师参与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地方立法和政府文件的制订、修订，重大决策的论证、实施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的情况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shd w:val="clear" w:color="auto" w:fill="CFCECE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八、参与公益活动情况</w:t>
            </w:r>
          </w:p>
        </w:tc>
        <w:tc>
          <w:tcPr>
            <w:tcW w:w="4920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律所参与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法律援助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的类型及数量；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律所参与社区、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村居法律顾问情况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律所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担任调解员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（含法院诉前调解及律师调解）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、仲裁员情况</w:t>
            </w:r>
            <w:r>
              <w:rPr>
                <w:rFonts w:hint="eastAsia" w:ascii="宋体" w:hAnsi="宋体" w:eastAsia="宋体" w:cs="宋体"/>
                <w:sz w:val="24"/>
                <w:szCs w:val="32"/>
                <w:lang w:eastAsia="zh-Hans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非盈利组织普法授课，律师为社会弱势群体提供免费法律服务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参与政法委、人大等组织的案件评查及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Hans"/>
              </w:rPr>
              <w:t>律师值班化解纠纷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情况。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shd w:val="clear" w:color="auto" w:fill="CFCECE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九、人才培养情况</w:t>
            </w:r>
          </w:p>
        </w:tc>
        <w:tc>
          <w:tcPr>
            <w:tcW w:w="4920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了解青年律师职业规划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青年律师的困难和需求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律所是否建立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青年律师培养和教育管理体系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是否出台针对年轻律师的传帮带帮扶政策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是否有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支持青年律师发展的优惠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政策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落实情况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（如办公费用、管理费用等）；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是否有青年律师的业务提升、专业发展以及业务支持；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shd w:val="clear" w:color="auto" w:fill="CFCECE" w:themeFill="background2" w:themeFillShade="E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28"/>
                <w:lang w:val="en-US" w:eastAsia="zh-Hans"/>
              </w:rPr>
              <w:t>十、其他意见和建议</w:t>
            </w:r>
          </w:p>
        </w:tc>
        <w:tc>
          <w:tcPr>
            <w:tcW w:w="4920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shd w:val="clear" w:color="auto" w:fill="CFCECE" w:themeFill="background2" w:themeFillShade="E5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其它</w:t>
            </w:r>
          </w:p>
        </w:tc>
        <w:tc>
          <w:tcPr>
            <w:tcW w:w="4920" w:type="dxa"/>
            <w:noWrap w:val="0"/>
            <w:vAlign w:val="center"/>
          </w:tcPr>
          <w:p>
            <w:pPr>
              <w:spacing w:line="360" w:lineRule="atLeast"/>
              <w:ind w:firstLine="336" w:firstLineChars="140"/>
              <w:jc w:val="both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26" w:type="dxa"/>
            <w:noWrap w:val="0"/>
            <w:vAlign w:val="center"/>
          </w:tcPr>
          <w:p>
            <w:pPr>
              <w:spacing w:line="360" w:lineRule="atLeast"/>
              <w:jc w:val="both"/>
              <w:rPr>
                <w:rFonts w:hint="eastAsia" w:ascii="宋体" w:hAnsi="宋体" w:eastAsia="宋体" w:cs="宋体"/>
                <w:b/>
                <w:bCs/>
                <w:sz w:val="28"/>
              </w:rPr>
            </w:pPr>
          </w:p>
        </w:tc>
      </w:tr>
    </w:tbl>
    <w:p>
      <w:pPr>
        <w:spacing w:line="360" w:lineRule="atLeast"/>
        <w:ind w:firstLine="336" w:firstLineChars="140"/>
        <w:rPr>
          <w:rFonts w:hint="eastAsia"/>
          <w:sz w:val="24"/>
        </w:rPr>
      </w:pPr>
    </w:p>
    <w:p>
      <w:pPr>
        <w:spacing w:line="360" w:lineRule="atLeast"/>
        <w:ind w:firstLine="1056" w:firstLineChars="44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                        </w:t>
      </w:r>
    </w:p>
    <w:p>
      <w:pPr>
        <w:spacing w:line="360" w:lineRule="atLeast"/>
        <w:ind w:firstLine="1056" w:firstLineChars="440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tLeast"/>
        <w:ind w:firstLine="8856" w:firstLineChars="369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石家庄市律师协会</w:t>
      </w:r>
    </w:p>
    <w:p>
      <w:pPr>
        <w:spacing w:line="360" w:lineRule="atLeast"/>
        <w:ind w:firstLine="8856" w:firstLineChars="369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行业发展战略委员会</w:t>
      </w:r>
    </w:p>
    <w:p>
      <w:pPr>
        <w:spacing w:line="360" w:lineRule="atLeast"/>
        <w:ind w:firstLine="1056" w:firstLineChars="440"/>
        <w:rPr>
          <w:rFonts w:hint="default" w:eastAsia="宋体"/>
          <w:lang w:val="en-US" w:eastAsia="zh-CN"/>
        </w:rPr>
      </w:pPr>
      <w:r>
        <w:rPr>
          <w:rFonts w:hint="eastAsia"/>
          <w:sz w:val="24"/>
        </w:rPr>
        <w:t xml:space="preserve">                                                                   </w:t>
      </w:r>
      <w:r>
        <w:rPr>
          <w:rFonts w:hint="eastAsia"/>
          <w:sz w:val="24"/>
          <w:lang w:val="en-US" w:eastAsia="zh-CN"/>
        </w:rPr>
        <w:t>2023年11月17日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  <w:ind w:right="360"/>
      <w:jc w:val="center"/>
      <w:rPr>
        <w:rFonts w:hint="eastAsia" w:ascii="仿宋" w:hAnsi="仿宋" w:eastAsia="仿宋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7"/>
      </w:pBdr>
      <w:jc w:val="right"/>
      <w:rPr>
        <w:rFonts w:hint="eastAsia" w:ascii="华文隶书" w:eastAsia="华文隶书"/>
        <w:sz w:val="24"/>
        <w:szCs w:val="24"/>
      </w:rPr>
    </w:pPr>
    <w:r>
      <w:rPr>
        <w:rFonts w:hint="eastAsia" w:ascii="华文隶书" w:eastAsia="华文隶书"/>
        <w:sz w:val="24"/>
        <w:szCs w:val="24"/>
        <w:lang w:val="en-US" w:eastAsia="zh-CN"/>
      </w:rPr>
      <w:t>行业发展战略委员会调研提纲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MWY4NzZlZDQ3MzlkNzhjNzlmOTNhMmJlZTE2NGQifQ=="/>
  </w:docVars>
  <w:rsids>
    <w:rsidRoot w:val="37B7C2AD"/>
    <w:rsid w:val="37B7C2AD"/>
    <w:rsid w:val="679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2023-11-15T15:39:00Z</dcterms:created>
  <dc:creator>  </dc:creator>
  <cp:lastModifiedBy>喵小雷</cp:lastModifiedBy>
  <dcterms:modified xsi:type="dcterms:W3CDTF">2023-11-17T07:02:35Z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4E2376C0629ECA6BC47554658D1B78FA_41</vt:lpwstr>
  </property>
</Properties>
</file>