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after="200" w:line="820" w:lineRule="exact"/>
        <w:jc w:val="center"/>
        <w:rPr>
          <w:rFonts w:ascii="华文中宋" w:hAnsi="华文中宋" w:eastAsia="华文中宋" w:cs="华文中宋"/>
          <w:b/>
          <w:bCs/>
          <w:color w:val="FF0000"/>
          <w:spacing w:val="85"/>
          <w:sz w:val="84"/>
          <w:szCs w:val="84"/>
        </w:rPr>
      </w:pPr>
      <w:r>
        <w:rPr>
          <w:rFonts w:hint="eastAsia" w:ascii="华文中宋" w:hAnsi="华文中宋" w:eastAsia="华文中宋" w:cs="华文中宋"/>
          <w:b/>
          <w:bCs/>
          <w:color w:val="FF0000"/>
          <w:spacing w:val="108"/>
          <w:sz w:val="84"/>
          <w:szCs w:val="84"/>
        </w:rPr>
        <w:t>河北省律师协会</w:t>
      </w:r>
    </w:p>
    <w:tbl>
      <w:tblPr>
        <w:tblStyle w:val="7"/>
        <w:tblW w:w="9444" w:type="dxa"/>
        <w:tblInd w:w="-186" w:type="dxa"/>
        <w:tblBorders>
          <w:top w:val="thinThickMediumGap" w:color="FF0000" w:sz="24" w:space="0"/>
          <w:left w:val="thinThickMediumGap" w:color="FF0000" w:sz="24" w:space="0"/>
          <w:bottom w:val="thinThickMediumGap" w:color="FF0000" w:sz="24" w:space="0"/>
          <w:right w:val="thinThickMediumGap" w:color="FF0000" w:sz="24" w:space="0"/>
          <w:insideH w:val="thinThickMediumGap" w:color="FF0000" w:sz="24" w:space="0"/>
          <w:insideV w:val="thinThickMediumGap" w:color="FF0000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2"/>
        <w:gridCol w:w="4282"/>
      </w:tblGrid>
      <w:tr>
        <w:tblPrEx>
          <w:tblBorders>
            <w:top w:val="thinThickMediumGap" w:color="FF0000" w:sz="24" w:space="0"/>
            <w:left w:val="thinThickMediumGap" w:color="FF0000" w:sz="24" w:space="0"/>
            <w:bottom w:val="thinThickMediumGap" w:color="FF0000" w:sz="24" w:space="0"/>
            <w:right w:val="thinThickMediumGap" w:color="FF0000" w:sz="24" w:space="0"/>
            <w:insideH w:val="thinThickMediumGap" w:color="FF0000" w:sz="24" w:space="0"/>
            <w:insideV w:val="thinThickMediumGap" w:color="FF0000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5162" w:type="dxa"/>
            <w:tcBorders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80" w:lineRule="exact"/>
              <w:rPr>
                <w:rFonts w:ascii="华文中宋" w:hAnsi="华文中宋" w:eastAsia="华文中宋" w:cs="华文中宋"/>
                <w:spacing w:val="85"/>
                <w:szCs w:val="21"/>
                <w:u w:val="double"/>
              </w:rPr>
            </w:pPr>
          </w:p>
        </w:tc>
        <w:tc>
          <w:tcPr>
            <w:tcW w:w="4282" w:type="dxa"/>
            <w:tcBorders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80" w:lineRule="exact"/>
              <w:rPr>
                <w:rFonts w:ascii="华文中宋" w:hAnsi="华文中宋" w:eastAsia="华文中宋" w:cs="华文中宋"/>
                <w:spacing w:val="85"/>
                <w:szCs w:val="21"/>
                <w:u w:val="doubl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jc w:val="both"/>
        <w:textAlignment w:val="auto"/>
        <w:rPr>
          <w:rFonts w:hint="eastAsia" w:ascii="仿宋_GB2312" w:eastAsia="仿宋_GB2312"/>
          <w:sz w:val="32"/>
          <w:lang w:val="en-US" w:eastAsia="zh-CN"/>
        </w:rPr>
      </w:pPr>
      <w:r>
        <w:rPr>
          <w:rFonts w:hint="eastAsia" w:ascii="仿宋_GB2312" w:eastAsia="仿宋_GB2312"/>
          <w:sz w:val="32"/>
        </w:rPr>
        <w:t xml:space="preserve">   </w:t>
      </w:r>
      <w:r>
        <w:rPr>
          <w:rFonts w:hint="eastAsia" w:ascii="仿宋_GB2312" w:eastAsia="仿宋_GB2312"/>
          <w:sz w:val="32"/>
          <w:lang w:val="en-US" w:eastAsia="zh-CN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 w:firstLine="4160" w:firstLineChars="1300"/>
        <w:jc w:val="right"/>
        <w:textAlignment w:val="auto"/>
        <w:rPr>
          <w:rFonts w:hint="eastAsia" w:ascii="宋体" w:hAnsi="宋体" w:eastAsia="宋体" w:cs="宋体"/>
          <w:sz w:val="44"/>
          <w:szCs w:val="44"/>
          <w:lang w:bidi="en-US"/>
        </w:rPr>
      </w:pPr>
      <w:r>
        <w:rPr>
          <w:rFonts w:hint="eastAsia" w:ascii="仿宋_GB2312" w:eastAsia="仿宋_GB2312"/>
          <w:sz w:val="32"/>
        </w:rPr>
        <w:t>冀律</w:t>
      </w:r>
      <w:r>
        <w:rPr>
          <w:rFonts w:hint="eastAsia" w:ascii="仿宋_GB2312" w:eastAsia="仿宋_GB2312"/>
          <w:sz w:val="32"/>
          <w:lang w:eastAsia="zh-CN"/>
        </w:rPr>
        <w:t>协</w:t>
      </w:r>
      <w:r>
        <w:rPr>
          <w:rFonts w:hint="eastAsia" w:ascii="仿宋_GB2312" w:eastAsia="仿宋_GB2312"/>
          <w:sz w:val="32"/>
        </w:rPr>
        <w:t>〔20</w:t>
      </w:r>
      <w:r>
        <w:rPr>
          <w:rFonts w:hint="eastAsia" w:ascii="仿宋_GB2312" w:eastAsia="仿宋_GB2312"/>
          <w:sz w:val="32"/>
          <w:lang w:val="en-US" w:eastAsia="zh-CN"/>
        </w:rPr>
        <w:t>22</w:t>
      </w:r>
      <w:r>
        <w:rPr>
          <w:rFonts w:hint="eastAsia" w:ascii="仿宋_GB2312" w:eastAsia="仿宋_GB2312"/>
          <w:sz w:val="32"/>
        </w:rPr>
        <w:t>〕</w:t>
      </w:r>
      <w:r>
        <w:rPr>
          <w:rFonts w:hint="eastAsia" w:ascii="仿宋_GB2312" w:eastAsia="仿宋_GB2312"/>
          <w:sz w:val="32"/>
          <w:lang w:val="en-US" w:eastAsia="zh-CN"/>
        </w:rPr>
        <w:t>17</w:t>
      </w:r>
      <w:r>
        <w:rPr>
          <w:rFonts w:hint="eastAsia" w:ascii="仿宋_GB2312" w:eastAsia="仿宋_GB2312"/>
          <w:sz w:val="32"/>
        </w:rPr>
        <w:t>号</w:t>
      </w:r>
      <w:r>
        <w:rPr>
          <w:rFonts w:hint="eastAsia" w:ascii="宋体" w:hAnsi="宋体"/>
          <w:b/>
          <w:sz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sz w:val="44"/>
          <w:szCs w:val="44"/>
          <w:lang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sz w:val="44"/>
          <w:szCs w:val="44"/>
          <w:lang w:bidi="en-US"/>
        </w:rPr>
      </w:pPr>
      <w:r>
        <w:rPr>
          <w:rFonts w:hint="eastAsia" w:ascii="宋体" w:hAnsi="宋体" w:eastAsia="宋体" w:cs="宋体"/>
          <w:sz w:val="44"/>
          <w:szCs w:val="44"/>
          <w:lang w:bidi="en-US"/>
        </w:rPr>
        <w:t>关于启用</w:t>
      </w:r>
      <w:r>
        <w:rPr>
          <w:rFonts w:hint="eastAsia" w:ascii="宋体" w:hAnsi="宋体" w:eastAsia="宋体" w:cs="宋体"/>
          <w:sz w:val="44"/>
          <w:szCs w:val="44"/>
          <w:lang w:eastAsia="zh-CN" w:bidi="en-US"/>
        </w:rPr>
        <w:t>京津冀律协</w:t>
      </w:r>
      <w:r>
        <w:rPr>
          <w:rFonts w:hint="eastAsia" w:ascii="宋体" w:hAnsi="宋体" w:eastAsia="宋体" w:cs="宋体"/>
          <w:sz w:val="44"/>
          <w:szCs w:val="44"/>
          <w:lang w:bidi="en-US"/>
        </w:rPr>
        <w:t>集中培训平台的通知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sz w:val="32"/>
          <w:szCs w:val="32"/>
          <w:lang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</w:rPr>
        <w:t>各市（含定州、辛集市</w:t>
      </w:r>
      <w:r>
        <w:rPr>
          <w:rFonts w:hint="eastAsia" w:ascii="仿宋" w:hAnsi="仿宋" w:eastAsia="仿宋"/>
          <w:sz w:val="32"/>
          <w:szCs w:val="32"/>
          <w:lang w:eastAsia="zh-CN"/>
        </w:rPr>
        <w:t>、雄安新区</w:t>
      </w:r>
      <w:r>
        <w:rPr>
          <w:rFonts w:hint="eastAsia" w:ascii="仿宋" w:hAnsi="仿宋" w:eastAsia="仿宋"/>
          <w:sz w:val="32"/>
          <w:szCs w:val="32"/>
        </w:rPr>
        <w:t>）律师协会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eastAsia="zh-CN" w:bidi="en-US"/>
        </w:rPr>
        <w:t>省直</w:t>
      </w:r>
      <w:r>
        <w:rPr>
          <w:rFonts w:hint="eastAsia" w:ascii="仿宋" w:hAnsi="仿宋" w:eastAsia="仿宋"/>
          <w:sz w:val="32"/>
          <w:szCs w:val="32"/>
          <w:lang w:bidi="en-US"/>
        </w:rPr>
        <w:t>各律师事务所：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为认真贯彻落实《律师法》，司法部《律师执业管理办法》，中共中央组织部、最高人民法院、最高人民检察院、司法部《关于建立法律职业人员统一职前培训制度的指导意见》和全国律协《申请律师执业人员实习管理规则》关于申请律师执业人员（以下简称“实习人员”）集中培训工作的要求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经北京市、天津市、河北省律师协会精诚协作，全面总结新冠肺炎疫情防控中开展实习人员线上培训经验，以信息化手段优化实习人员集中培训，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北京市律师协会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研发了京津冀律协集中培训平台，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现已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启用。现将有关事项通知如下：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  <w:t>一、工作目标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考虑实习人员和律师执业的特殊性，充分发挥网络优势和培训资源优势，建设专门的网络</w:t>
      </w:r>
      <w:r>
        <w:rPr>
          <w:rFonts w:hint="eastAsia" w:ascii="仿宋" w:hAnsi="仿宋" w:eastAsia="仿宋" w:cs="仿宋"/>
          <w:bCs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培训平台，构建起适用实习人员的集中培训平台（对实习人员开放）和适用执业律师的京律学苑平台（对社会开放）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，为实习人员和执业律师提供充足的课程资源，提高培训的质量和效果，同时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促进京津冀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三地资源共享、合力凝聚，为服务保障经济社会发展培育高质量的律师人才。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  <w:t>二、平台名称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京津冀律协集中培训平台。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  <w:t>三、适用对象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auto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32"/>
          <w:szCs w:val="32"/>
          <w:shd w:val="clear" w:color="auto" w:fill="FFFFFF"/>
          <w:lang w:eastAsia="zh-CN"/>
        </w:rPr>
        <w:t>面对河北省</w:t>
      </w:r>
      <w:r>
        <w:rPr>
          <w:rFonts w:hint="eastAsia" w:ascii="仿宋" w:hAnsi="仿宋" w:eastAsia="仿宋" w:cs="仿宋"/>
          <w:color w:val="auto"/>
          <w:spacing w:val="5"/>
          <w:kern w:val="0"/>
          <w:sz w:val="32"/>
          <w:szCs w:val="32"/>
          <w:shd w:val="clear" w:color="auto" w:fill="FFFFFF"/>
        </w:rPr>
        <w:t>已经进行实习登记、领取律师协会颁发的《实习证》，未参加律师协会组织的集中培训的实习人员。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auto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auto"/>
          <w:spacing w:val="5"/>
          <w:kern w:val="0"/>
          <w:sz w:val="32"/>
          <w:szCs w:val="32"/>
          <w:shd w:val="clear" w:color="auto" w:fill="FFFFFF"/>
        </w:rPr>
        <w:t>四、启用时间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自通知发布之日起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，实习人员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可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通过电脑或手机登录。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val="en-US" w:eastAsia="zh-CN"/>
        </w:rPr>
        <w:t xml:space="preserve">      请参照附件操作指南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</w:rPr>
        <w:t>六、培训课程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bCs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培训课程根据全国律协《申请律师执业人员实习管理规则》要求进行设置，包括：</w:t>
      </w:r>
      <w:r>
        <w:rPr>
          <w:rFonts w:hint="eastAsia" w:ascii="仿宋" w:hAnsi="仿宋" w:eastAsia="仿宋" w:cs="仿宋"/>
          <w:bCs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习近平新时代中国特色社会主义思想，特别是习近平法治思想；党的路线、方针、政策；中国共产党党史、新中国史、改革开放史和社会主义发展史；律师制度和律师的定位及其职责使命；律师执业管理规定；律师职业道德和执业纪律；律师实务知识和执业技能等内容，律师协会将根据形势任务变化和要求及时补充、更新课程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ascii="仿宋" w:hAnsi="仿宋" w:eastAsia="仿宋" w:cs="仿宋"/>
          <w:bCs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  <w:r>
        <w:rPr>
          <w:rFonts w:hint="eastAsia" w:ascii="仿宋" w:hAnsi="仿宋" w:eastAsia="仿宋" w:cs="仿宋"/>
          <w:bCs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目前，集中培训平台设置党的方针、政策；习近平法治思想；党史、新中国史；律师实务；律师制度和定位；律师执业规范；律师行业党建；成为合格律师等8个培训课程模块。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七、学习要求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实习人员需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  <w:t>在实习面试考核前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完成8个模块，共计200课时课程学习。实习人员完成模块相应的课时后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  <w:t>即可等待本市律协发放结课证书。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4253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序号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模块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1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党的方针、政策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16课时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2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习近平法治思想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16课时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3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党史、新中国史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16课时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4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律师实务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120课时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5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律师制度和定位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6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律师执业规范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20课时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7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律师行业党建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8</w:t>
            </w:r>
          </w:p>
        </w:tc>
        <w:tc>
          <w:tcPr>
            <w:tcW w:w="42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成为合格律师</w:t>
            </w:r>
          </w:p>
        </w:tc>
        <w:tc>
          <w:tcPr>
            <w:tcW w:w="28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hint="eastAsia" w:ascii="仿宋" w:hAnsi="仿宋" w:eastAsia="仿宋" w:cs="仿宋"/>
                <w:color w:val="000000"/>
                <w:spacing w:val="5"/>
                <w:kern w:val="0"/>
                <w:sz w:val="32"/>
                <w:szCs w:val="32"/>
                <w:shd w:val="clear" w:color="auto" w:fill="FFFFFF"/>
                <w:lang w:bidi="en-US"/>
              </w:rPr>
              <w:t>4课时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八、培训结业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实习人员按照分配课时要求完成培训课程后，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  <w:t>北京市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律师协会将在15个工作日内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  <w:t>将毕业名单发省律协，省律协制作本省毕业名单，各地市律协制作本市毕业证书。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b/>
          <w:bCs/>
          <w:color w:val="000000"/>
          <w:spacing w:val="5"/>
          <w:kern w:val="0"/>
          <w:sz w:val="32"/>
          <w:szCs w:val="32"/>
          <w:shd w:val="clear" w:color="auto" w:fill="FFFFFF"/>
          <w:lang w:eastAsia="zh-CN" w:bidi="en-US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取得集中培训结业证书的实习人员，实习期满后，方可按照规定程序向律师协会提交、办理面试考核申请。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</w:pPr>
      <w:r>
        <w:rPr>
          <w:rFonts w:hint="eastAsia" w:ascii="黑体" w:hAnsi="黑体" w:eastAsia="黑体" w:cs="仿宋"/>
          <w:color w:val="000000"/>
          <w:spacing w:val="5"/>
          <w:kern w:val="0"/>
          <w:sz w:val="32"/>
          <w:szCs w:val="32"/>
          <w:shd w:val="clear" w:color="auto" w:fill="FFFFFF"/>
          <w:lang w:bidi="en-US"/>
        </w:rPr>
        <w:t>九、有关要求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（一）高度重视。集中培训平台是优化实习人员集中培训工作的重要举措。</w:t>
      </w:r>
      <w:r>
        <w:rPr>
          <w:rFonts w:hint="eastAsia" w:ascii="仿宋" w:hAnsi="仿宋" w:eastAsia="仿宋"/>
          <w:sz w:val="32"/>
          <w:szCs w:val="32"/>
        </w:rPr>
        <w:t>各市（含定州、辛集市</w:t>
      </w:r>
      <w:r>
        <w:rPr>
          <w:rFonts w:hint="eastAsia" w:ascii="仿宋" w:hAnsi="仿宋" w:eastAsia="仿宋"/>
          <w:sz w:val="32"/>
          <w:szCs w:val="32"/>
          <w:lang w:eastAsia="zh-CN"/>
        </w:rPr>
        <w:t>、雄安新区</w:t>
      </w:r>
      <w:r>
        <w:rPr>
          <w:rFonts w:hint="eastAsia" w:ascii="仿宋" w:hAnsi="仿宋" w:eastAsia="仿宋"/>
          <w:sz w:val="32"/>
          <w:szCs w:val="32"/>
        </w:rPr>
        <w:t>）律师协会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eastAsia="zh-CN" w:bidi="en-US"/>
        </w:rPr>
        <w:t>省直</w:t>
      </w:r>
      <w:r>
        <w:rPr>
          <w:rFonts w:hint="eastAsia" w:ascii="仿宋" w:hAnsi="仿宋" w:eastAsia="仿宋"/>
          <w:sz w:val="32"/>
          <w:szCs w:val="32"/>
          <w:lang w:bidi="en-US"/>
        </w:rPr>
        <w:t>各律师事务所</w:t>
      </w:r>
      <w:r>
        <w:rPr>
          <w:rFonts w:hint="eastAsia" w:ascii="仿宋" w:hAnsi="仿宋" w:eastAsia="仿宋"/>
          <w:sz w:val="32"/>
          <w:szCs w:val="32"/>
          <w:lang w:eastAsia="zh-CN" w:bidi="en-US"/>
        </w:rPr>
        <w:t>和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实习人员要高度重视，加强组织领导，确保平台应用落到实处。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（二）强化督促指导。</w:t>
      </w:r>
      <w:r>
        <w:rPr>
          <w:rFonts w:hint="eastAsia" w:ascii="仿宋" w:hAnsi="仿宋" w:eastAsia="仿宋"/>
          <w:sz w:val="32"/>
          <w:szCs w:val="32"/>
        </w:rPr>
        <w:t>各市（含定州、辛集市</w:t>
      </w:r>
      <w:r>
        <w:rPr>
          <w:rFonts w:hint="eastAsia" w:ascii="仿宋" w:hAnsi="仿宋" w:eastAsia="仿宋"/>
          <w:sz w:val="32"/>
          <w:szCs w:val="32"/>
          <w:lang w:eastAsia="zh-CN"/>
        </w:rPr>
        <w:t>、雄安新区</w:t>
      </w:r>
      <w:r>
        <w:rPr>
          <w:rFonts w:hint="eastAsia" w:ascii="仿宋" w:hAnsi="仿宋" w:eastAsia="仿宋"/>
          <w:sz w:val="32"/>
          <w:szCs w:val="32"/>
        </w:rPr>
        <w:t>）律师协会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eastAsia="zh-CN" w:bidi="en-US"/>
        </w:rPr>
        <w:t>省直</w:t>
      </w:r>
      <w:r>
        <w:rPr>
          <w:rFonts w:hint="eastAsia" w:ascii="仿宋" w:hAnsi="仿宋" w:eastAsia="仿宋"/>
          <w:sz w:val="32"/>
          <w:szCs w:val="32"/>
          <w:lang w:bidi="en-US"/>
        </w:rPr>
        <w:t>各律师事务所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</w:rPr>
        <w:t>和指导律师要加强对实习人员的管理教育，督促实习人员认真学习，确保培训的质量和效果。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联系人：王金旗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李小会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eastAsia="zh-CN"/>
        </w:rPr>
        <w:t>联系电话：</w:t>
      </w:r>
      <w:r>
        <w:rPr>
          <w:rFonts w:hint="eastAsia" w:ascii="仿宋" w:hAnsi="仿宋" w:eastAsia="仿宋" w:cs="仿宋"/>
          <w:color w:val="000000"/>
          <w:spacing w:val="5"/>
          <w:kern w:val="0"/>
          <w:sz w:val="32"/>
          <w:szCs w:val="32"/>
          <w:shd w:val="clear" w:color="auto" w:fill="FFFFFF"/>
          <w:lang w:val="en-US" w:eastAsia="zh-CN"/>
        </w:rPr>
        <w:t>0311-83899960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附件：京津冀律协集中培训平台操作指南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eastAsia="zh-CN" w:bidi="en-US"/>
        </w:rPr>
      </w:pPr>
      <w:r>
        <w:rPr>
          <w:rFonts w:hint="eastAsia" w:ascii="仿宋" w:hAnsi="仿宋" w:eastAsia="仿宋"/>
          <w:sz w:val="32"/>
          <w:szCs w:val="32"/>
          <w:lang w:eastAsia="zh-CN" w:bidi="en-US"/>
        </w:rPr>
        <w:t>河北省律师协会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2022年</w:t>
      </w:r>
      <w:r>
        <w:rPr>
          <w:rFonts w:hint="eastAsia" w:ascii="仿宋" w:hAnsi="仿宋" w:eastAsia="仿宋"/>
          <w:sz w:val="32"/>
          <w:szCs w:val="32"/>
          <w:lang w:val="en-US" w:eastAsia="zh-CN" w:bidi="en-US"/>
        </w:rPr>
        <w:t>6</w:t>
      </w:r>
      <w:r>
        <w:rPr>
          <w:rFonts w:hint="eastAsia" w:ascii="仿宋" w:hAnsi="仿宋" w:eastAsia="仿宋"/>
          <w:sz w:val="32"/>
          <w:szCs w:val="32"/>
          <w:lang w:bidi="en-US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 w:bidi="en-US"/>
        </w:rPr>
        <w:t>27</w:t>
      </w:r>
      <w:r>
        <w:rPr>
          <w:rFonts w:hint="eastAsia" w:ascii="仿宋" w:hAnsi="仿宋" w:eastAsia="仿宋"/>
          <w:sz w:val="32"/>
          <w:szCs w:val="32"/>
          <w:lang w:bidi="en-US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640" w:firstLineChars="1450"/>
        <w:textAlignment w:val="auto"/>
        <w:rPr>
          <w:rFonts w:hint="eastAsia" w:ascii="仿宋" w:hAnsi="仿宋" w:eastAsia="仿宋"/>
          <w:sz w:val="32"/>
          <w:szCs w:val="32"/>
          <w:lang w:bidi="en-US"/>
        </w:rPr>
      </w:pPr>
    </w:p>
    <w:p>
      <w:pPr>
        <w:jc w:val="center"/>
        <w:rPr>
          <w:rFonts w:hint="eastAsia" w:ascii="方正小标宋简体" w:hAnsi="仿宋" w:eastAsia="方正小标宋简体"/>
          <w:sz w:val="44"/>
          <w:szCs w:val="44"/>
          <w:lang w:bidi="en-US"/>
        </w:rPr>
      </w:pPr>
      <w:r>
        <w:rPr>
          <w:rFonts w:hint="eastAsia" w:ascii="方正小标宋简体" w:hAnsi="仿宋" w:eastAsia="方正小标宋简体"/>
          <w:sz w:val="44"/>
          <w:szCs w:val="44"/>
          <w:lang w:bidi="en-US"/>
        </w:rPr>
        <w:t>京津冀律协集中培训平台操作指南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bidi="en-US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  <w:lang w:bidi="en-US"/>
        </w:rPr>
      </w:pPr>
      <w:r>
        <w:rPr>
          <w:rFonts w:hint="eastAsia" w:ascii="黑体" w:hAnsi="黑体" w:eastAsia="黑体"/>
          <w:sz w:val="32"/>
          <w:szCs w:val="32"/>
          <w:lang w:bidi="en-US"/>
        </w:rPr>
        <w:t>一、报名流程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1.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登陆首都律师网：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eastAsia="zh-Hans"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https://www.beijinglawyers.org.cn</w:t>
      </w:r>
    </w:p>
    <w:p>
      <w:pPr>
        <w:ind w:firstLine="640" w:firstLineChars="200"/>
        <w:rPr>
          <w:rFonts w:eastAsia="仿宋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找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到“京津冀律协集中培训报名系统”入口，如下图所示</w:t>
      </w:r>
      <w:r>
        <w:rPr>
          <w:rFonts w:hint="eastAsia" w:ascii="仿宋" w:hAnsi="仿宋" w:eastAsia="仿宋"/>
          <w:sz w:val="32"/>
          <w:szCs w:val="32"/>
          <w:lang w:bidi="en-US"/>
        </w:rPr>
        <w:t>：</w:t>
      </w:r>
    </w:p>
    <w:p>
      <w:pPr>
        <w:rPr>
          <w:rFonts w:hint="eastAsia" w:ascii="仿宋" w:hAnsi="仿宋" w:eastAsia="仿宋"/>
          <w:sz w:val="32"/>
          <w:szCs w:val="32"/>
          <w:lang w:bidi="en-US"/>
        </w:rPr>
      </w:pPr>
      <w:r>
        <w:drawing>
          <wp:inline distT="0" distB="0" distL="114300" distR="114300">
            <wp:extent cx="4849495" cy="3881120"/>
            <wp:effectExtent l="0" t="0" r="825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640" w:firstLineChars="200"/>
        <w:rPr>
          <w:rFonts w:hint="eastAsia" w:ascii="楷体" w:hAnsi="楷体" w:eastAsia="楷体"/>
          <w:sz w:val="32"/>
          <w:szCs w:val="32"/>
          <w:lang w:bidi="en-US"/>
        </w:rPr>
      </w:pPr>
      <w:r>
        <w:rPr>
          <w:rFonts w:hint="eastAsia" w:ascii="楷体" w:hAnsi="楷体" w:eastAsia="楷体"/>
          <w:sz w:val="32"/>
          <w:szCs w:val="32"/>
          <w:lang w:bidi="en-US"/>
        </w:rPr>
        <w:t>2.报名</w:t>
      </w:r>
    </w:p>
    <w:p>
      <w:pPr>
        <w:tabs>
          <w:tab w:val="left" w:pos="312"/>
        </w:tabs>
        <w:ind w:firstLine="640" w:firstLineChars="200"/>
        <w:rPr>
          <w:rFonts w:hint="eastAsia"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进入“京津冀律协集中培训报名系统”，填报信息，填报完成后点击“提交”即可。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完成学习账户申请</w:t>
      </w:r>
      <w:r>
        <w:rPr>
          <w:rFonts w:hint="eastAsia" w:ascii="仿宋" w:hAnsi="仿宋" w:eastAsia="仿宋"/>
          <w:sz w:val="32"/>
          <w:szCs w:val="32"/>
          <w:lang w:bidi="en-US"/>
        </w:rPr>
        <w:t>后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，请在</w:t>
      </w:r>
      <w:r>
        <w:rPr>
          <w:rFonts w:hint="eastAsia" w:ascii="仿宋" w:hAnsi="仿宋" w:eastAsia="仿宋"/>
          <w:sz w:val="32"/>
          <w:szCs w:val="32"/>
          <w:lang w:bidi="en-US"/>
        </w:rPr>
        <w:t>5</w:t>
      </w:r>
      <w:r>
        <w:rPr>
          <w:rFonts w:hint="eastAsia" w:ascii="仿宋" w:hAnsi="仿宋" w:eastAsia="仿宋"/>
          <w:sz w:val="32"/>
          <w:szCs w:val="32"/>
          <w:lang w:val="en-US" w:eastAsia="zh-CN" w:bidi="en-US"/>
        </w:rPr>
        <w:t>-10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个工作日后，</w:t>
      </w:r>
      <w:r>
        <w:rPr>
          <w:rFonts w:hint="eastAsia" w:ascii="仿宋" w:hAnsi="仿宋" w:eastAsia="仿宋"/>
          <w:sz w:val="32"/>
          <w:szCs w:val="32"/>
          <w:lang w:bidi="en-US"/>
        </w:rPr>
        <w:t>登陆京津冀律协集中培训平台进行学习</w:t>
      </w:r>
      <w:r>
        <w:rPr>
          <w:rFonts w:ascii="仿宋" w:hAnsi="仿宋" w:eastAsia="仿宋"/>
          <w:sz w:val="32"/>
          <w:szCs w:val="32"/>
          <w:lang w:eastAsia="zh-Hans" w:bidi="en-US"/>
        </w:rPr>
        <w:t>，账户有效期3个</w:t>
      </w:r>
      <w:r>
        <w:rPr>
          <w:rFonts w:hint="eastAsia" w:ascii="仿宋" w:hAnsi="仿宋" w:eastAsia="仿宋"/>
          <w:sz w:val="32"/>
          <w:szCs w:val="32"/>
          <w:lang w:bidi="en-US"/>
        </w:rPr>
        <w:t>月，请务必在此时间内完成学习。</w:t>
      </w:r>
    </w:p>
    <w:p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114300" distR="114300">
            <wp:extent cx="5467350" cy="54578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  <w:lang w:bidi="en-US"/>
        </w:rPr>
      </w:pPr>
      <w:r>
        <w:rPr>
          <w:rFonts w:hint="eastAsia" w:ascii="黑体" w:hAnsi="黑体" w:eastAsia="黑体"/>
          <w:sz w:val="32"/>
          <w:szCs w:val="32"/>
          <w:lang w:bidi="en-US"/>
        </w:rPr>
        <w:t>二、学习流程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1.登录以下网址或扫描二维码，进入京津冀律协集中培训学习平台，在固定区域输入用户名和密码。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 xml:space="preserve">用户名：实习证号码   初始密码：123456 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请首次登录平台后修改密码！</w:t>
      </w:r>
    </w:p>
    <w:p>
      <w:pPr>
        <w:ind w:firstLine="640" w:firstLineChars="200"/>
        <w:rPr>
          <w:rFonts w:hint="eastAsia" w:ascii="仿宋" w:hAnsi="仿宋" w:eastAsia="仿宋"/>
          <w:color w:val="auto"/>
          <w:sz w:val="32"/>
          <w:szCs w:val="32"/>
          <w:u w:val="none"/>
          <w:lang w:bidi="en-US"/>
        </w:rPr>
      </w:pPr>
      <w:r>
        <w:rPr>
          <w:rFonts w:hint="eastAsia" w:ascii="仿宋" w:hAnsi="仿宋" w:eastAsia="仿宋"/>
          <w:color w:val="auto"/>
          <w:sz w:val="32"/>
          <w:szCs w:val="32"/>
          <w:u w:val="none"/>
          <w:lang w:bidi="en-US"/>
        </w:rPr>
        <w:t>https://appgsoghlmo7596.h5.xiaoeknow.com</w:t>
      </w:r>
    </w:p>
    <w:p>
      <w:pPr>
        <w:ind w:firstLine="420" w:firstLineChars="200"/>
        <w:rPr>
          <w:rFonts w:hint="eastAsia" w:ascii="仿宋" w:hAnsi="仿宋" w:eastAsia="仿宋"/>
          <w:color w:val="auto"/>
          <w:sz w:val="32"/>
          <w:szCs w:val="32"/>
          <w:u w:val="none"/>
          <w:lang w:bidi="en-US"/>
        </w:rPr>
      </w:pPr>
      <w:r>
        <w:drawing>
          <wp:inline distT="0" distB="0" distL="114300" distR="114300">
            <wp:extent cx="1436370" cy="1217930"/>
            <wp:effectExtent l="0" t="0" r="11430" b="1270"/>
            <wp:docPr id="6" name="图片 6" descr="二维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维码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702560" cy="2247900"/>
            <wp:effectExtent l="0" t="0" r="2540" b="0"/>
            <wp:docPr id="1" name="图片 1" descr="ab9d19208cf76f91adb19d3c8971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9d19208cf76f91adb19d3c89712aa"/>
                    <pic:cNvPicPr>
                      <a:picLocks noChangeAspect="1"/>
                    </pic:cNvPicPr>
                  </pic:nvPicPr>
                  <pic:blipFill>
                    <a:blip r:embed="rId8"/>
                    <a:srcRect t="2905" b="3644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  <w:lang w:bidi="en-US"/>
        </w:rPr>
      </w:pPr>
      <w:r>
        <w:rPr>
          <w:rFonts w:hint="eastAsia"/>
          <w:lang w:val="en-US" w:eastAsia="zh-CN"/>
        </w:rPr>
        <w:t xml:space="preserve">    </w:t>
      </w:r>
    </w:p>
    <w:p>
      <w:pPr>
        <w:tabs>
          <w:tab w:val="left" w:pos="312"/>
        </w:tabs>
        <w:ind w:firstLine="640" w:firstLineChars="200"/>
        <w:rPr>
          <w:rFonts w:hint="eastAsia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2.点击培训内容，选择学习模块，进入学习页面。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3.选择相应课程，开始学习。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420" w:firstLineChars="200"/>
        <w:textAlignment w:val="auto"/>
        <w:rPr>
          <w:rFonts w:ascii="仿宋" w:hAnsi="仿宋" w:eastAsia="仿宋"/>
          <w:sz w:val="32"/>
          <w:szCs w:val="32"/>
          <w:lang w:bidi="en-U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4224655</wp:posOffset>
            </wp:positionV>
            <wp:extent cx="1894840" cy="3389630"/>
            <wp:effectExtent l="0" t="0" r="10160" b="127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373380</wp:posOffset>
            </wp:positionV>
            <wp:extent cx="1975485" cy="3036570"/>
            <wp:effectExtent l="0" t="0" r="5715" b="11430"/>
            <wp:wrapSquare wrapText="bothSides"/>
            <wp:docPr id="5" name="图片 5" descr="16462059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205984(1)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710390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98B4EE"/>
    <w:multiLevelType w:val="singleLevel"/>
    <w:tmpl w:val="B398B4E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0MWY4NzZlZDQ3MzlkNzhjNzlmOTNhMmJlZTE2NGQifQ=="/>
  </w:docVars>
  <w:rsids>
    <w:rsidRoot w:val="009D2686"/>
    <w:rsid w:val="000D500A"/>
    <w:rsid w:val="001407C9"/>
    <w:rsid w:val="00176558"/>
    <w:rsid w:val="00185AE9"/>
    <w:rsid w:val="001D149D"/>
    <w:rsid w:val="002A0B18"/>
    <w:rsid w:val="002E2A94"/>
    <w:rsid w:val="00366E24"/>
    <w:rsid w:val="00367A97"/>
    <w:rsid w:val="003A35A8"/>
    <w:rsid w:val="003E2139"/>
    <w:rsid w:val="003F41B0"/>
    <w:rsid w:val="00436D1E"/>
    <w:rsid w:val="004D647C"/>
    <w:rsid w:val="00584348"/>
    <w:rsid w:val="005D2406"/>
    <w:rsid w:val="00622C56"/>
    <w:rsid w:val="00661A06"/>
    <w:rsid w:val="00664C7E"/>
    <w:rsid w:val="006C7718"/>
    <w:rsid w:val="0071656A"/>
    <w:rsid w:val="00743274"/>
    <w:rsid w:val="007573A1"/>
    <w:rsid w:val="0079333C"/>
    <w:rsid w:val="007C19F1"/>
    <w:rsid w:val="008A5138"/>
    <w:rsid w:val="008B28EB"/>
    <w:rsid w:val="008F0D72"/>
    <w:rsid w:val="00974549"/>
    <w:rsid w:val="009D2686"/>
    <w:rsid w:val="00A05FF9"/>
    <w:rsid w:val="00A10E90"/>
    <w:rsid w:val="00A21DC6"/>
    <w:rsid w:val="00A310A2"/>
    <w:rsid w:val="00A51B30"/>
    <w:rsid w:val="00A81F93"/>
    <w:rsid w:val="00AD3DD3"/>
    <w:rsid w:val="00B4474B"/>
    <w:rsid w:val="00B61FAE"/>
    <w:rsid w:val="00B836EB"/>
    <w:rsid w:val="00BC015E"/>
    <w:rsid w:val="00BD7D9E"/>
    <w:rsid w:val="00C92F14"/>
    <w:rsid w:val="00CF6ADB"/>
    <w:rsid w:val="00CF7CD5"/>
    <w:rsid w:val="00D01D68"/>
    <w:rsid w:val="00D068B7"/>
    <w:rsid w:val="00D766DD"/>
    <w:rsid w:val="00DC1A83"/>
    <w:rsid w:val="00DC62B6"/>
    <w:rsid w:val="00DE18E0"/>
    <w:rsid w:val="00EC050F"/>
    <w:rsid w:val="00F83115"/>
    <w:rsid w:val="00FB486E"/>
    <w:rsid w:val="02D547C0"/>
    <w:rsid w:val="033C7B9A"/>
    <w:rsid w:val="034B25DA"/>
    <w:rsid w:val="082B68AC"/>
    <w:rsid w:val="085B2B16"/>
    <w:rsid w:val="08AD4673"/>
    <w:rsid w:val="0A0C61C7"/>
    <w:rsid w:val="0AB539C5"/>
    <w:rsid w:val="0CE91EF8"/>
    <w:rsid w:val="0D190642"/>
    <w:rsid w:val="0D1E1C8C"/>
    <w:rsid w:val="0E715A6D"/>
    <w:rsid w:val="0F925507"/>
    <w:rsid w:val="108A39A5"/>
    <w:rsid w:val="12C14EC5"/>
    <w:rsid w:val="16170F41"/>
    <w:rsid w:val="17C45925"/>
    <w:rsid w:val="1EE95E20"/>
    <w:rsid w:val="216C2FF0"/>
    <w:rsid w:val="21E22249"/>
    <w:rsid w:val="23E672A5"/>
    <w:rsid w:val="23EE5E5C"/>
    <w:rsid w:val="24650C02"/>
    <w:rsid w:val="25590DB6"/>
    <w:rsid w:val="26810D79"/>
    <w:rsid w:val="27440052"/>
    <w:rsid w:val="27B702B5"/>
    <w:rsid w:val="29E94E73"/>
    <w:rsid w:val="30337524"/>
    <w:rsid w:val="345B2D8B"/>
    <w:rsid w:val="355779A1"/>
    <w:rsid w:val="35AF7937"/>
    <w:rsid w:val="371A745E"/>
    <w:rsid w:val="380062D2"/>
    <w:rsid w:val="38972676"/>
    <w:rsid w:val="3A7F5B83"/>
    <w:rsid w:val="3B337998"/>
    <w:rsid w:val="3C047C6C"/>
    <w:rsid w:val="3D6D25C6"/>
    <w:rsid w:val="3DB1339D"/>
    <w:rsid w:val="3E3B2BDD"/>
    <w:rsid w:val="3EFC2032"/>
    <w:rsid w:val="3FCA69EF"/>
    <w:rsid w:val="3FDD22E2"/>
    <w:rsid w:val="41652D3C"/>
    <w:rsid w:val="42531D69"/>
    <w:rsid w:val="426F6C2A"/>
    <w:rsid w:val="47E81FD1"/>
    <w:rsid w:val="48CB3DCC"/>
    <w:rsid w:val="48F061CF"/>
    <w:rsid w:val="490531E7"/>
    <w:rsid w:val="49E40E2F"/>
    <w:rsid w:val="4B4E37DF"/>
    <w:rsid w:val="4E1C4782"/>
    <w:rsid w:val="4E3A26FF"/>
    <w:rsid w:val="4E596AE3"/>
    <w:rsid w:val="4FBB77BF"/>
    <w:rsid w:val="4FBE10D8"/>
    <w:rsid w:val="502C37DE"/>
    <w:rsid w:val="533276C1"/>
    <w:rsid w:val="550616B2"/>
    <w:rsid w:val="550F1DF8"/>
    <w:rsid w:val="56011A1D"/>
    <w:rsid w:val="561735FC"/>
    <w:rsid w:val="5719566D"/>
    <w:rsid w:val="57C95F72"/>
    <w:rsid w:val="580A51C4"/>
    <w:rsid w:val="5A0A29D7"/>
    <w:rsid w:val="5C8742BF"/>
    <w:rsid w:val="5D0E5BDE"/>
    <w:rsid w:val="5D416CB3"/>
    <w:rsid w:val="5E2A7F84"/>
    <w:rsid w:val="619B6EF0"/>
    <w:rsid w:val="624C5143"/>
    <w:rsid w:val="641B57B0"/>
    <w:rsid w:val="641E57C3"/>
    <w:rsid w:val="64BA4EAE"/>
    <w:rsid w:val="65B34248"/>
    <w:rsid w:val="67A41555"/>
    <w:rsid w:val="69C41940"/>
    <w:rsid w:val="69FE27F4"/>
    <w:rsid w:val="6C550F4B"/>
    <w:rsid w:val="6CF405E2"/>
    <w:rsid w:val="6D557368"/>
    <w:rsid w:val="6EA90A6B"/>
    <w:rsid w:val="6F686D79"/>
    <w:rsid w:val="6FD16674"/>
    <w:rsid w:val="70305658"/>
    <w:rsid w:val="70FD2DB3"/>
    <w:rsid w:val="7225026C"/>
    <w:rsid w:val="72320F55"/>
    <w:rsid w:val="729935A3"/>
    <w:rsid w:val="774235A5"/>
    <w:rsid w:val="78AD7ED1"/>
    <w:rsid w:val="796138DC"/>
    <w:rsid w:val="7A52135F"/>
    <w:rsid w:val="7B2417B0"/>
    <w:rsid w:val="7DF77D8E"/>
    <w:rsid w:val="7DFA4AB4"/>
    <w:rsid w:val="7ECC513C"/>
    <w:rsid w:val="FEFD9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qFormat/>
    <w:uiPriority w:val="0"/>
    <w:rPr>
      <w:b/>
    </w:rPr>
  </w:style>
  <w:style w:type="character" w:styleId="11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日期 Char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1619</Words>
  <Characters>1732</Characters>
  <Lines>13</Lines>
  <Paragraphs>3</Paragraphs>
  <TotalTime>52</TotalTime>
  <ScaleCrop>false</ScaleCrop>
  <LinksUpToDate>false</LinksUpToDate>
  <CharactersWithSpaces>1782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2022-02-22T18:56:00Z</dcterms:created>
  <dc:creator>admin</dc:creator>
  <cp:lastModifiedBy>Administrator</cp:lastModifiedBy>
  <cp:lastPrinted>2022-03-23T05:25:00Z</cp:lastPrinted>
  <dcterms:modified xsi:type="dcterms:W3CDTF">2023-02-22T08:15:21Z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06FCFCCAF4F94F499E9F857AA0366723</vt:lpwstr>
  </property>
</Properties>
</file>