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律师办理黑恶势力犯罪</w:t>
      </w:r>
      <w:r>
        <w:rPr>
          <w:rFonts w:hint="eastAsia"/>
          <w:b/>
          <w:bCs/>
          <w:sz w:val="44"/>
          <w:szCs w:val="44"/>
        </w:rPr>
        <w:t>案件</w:t>
      </w:r>
      <w:r>
        <w:rPr>
          <w:rFonts w:hint="eastAsia"/>
          <w:b/>
          <w:bCs/>
          <w:sz w:val="44"/>
          <w:szCs w:val="44"/>
          <w:lang w:eastAsia="zh-CN"/>
        </w:rPr>
        <w:t>工作记录</w:t>
      </w:r>
      <w:r>
        <w:rPr>
          <w:rFonts w:hint="eastAsia"/>
          <w:b/>
          <w:bCs/>
          <w:sz w:val="44"/>
          <w:szCs w:val="44"/>
        </w:rPr>
        <w:t>卡</w:t>
      </w:r>
    </w:p>
    <w:p>
      <w:pPr>
        <w:rPr>
          <w:rFonts w:hint="eastAsia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</w:t>
      </w:r>
      <w:r>
        <w:rPr>
          <w:rFonts w:hint="eastAsia" w:ascii="楷体" w:hAnsi="楷体" w:eastAsia="楷体" w:cs="楷体"/>
          <w:sz w:val="24"/>
          <w:szCs w:val="24"/>
        </w:rPr>
        <w:t>律师事务所（公章）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4"/>
          <w:szCs w:val="24"/>
        </w:rPr>
        <w:t>承办律师：</w:t>
      </w:r>
    </w:p>
    <w:tbl>
      <w:tblPr>
        <w:tblStyle w:val="3"/>
        <w:tblW w:w="8928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409"/>
        <w:gridCol w:w="1701"/>
        <w:gridCol w:w="1277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案件名称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收案日期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委 托 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业务类别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□刑事辩护  □刑事代理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办案机关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案件阶段</w:t>
            </w:r>
          </w:p>
        </w:tc>
        <w:tc>
          <w:tcPr>
            <w:tcW w:w="3284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□侦查阶段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□审查起诉阶段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□审判阶段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案件管辖地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律师协会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   案</w:t>
            </w:r>
          </w:p>
        </w:tc>
        <w:tc>
          <w:tcPr>
            <w:tcW w:w="2409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案件来源</w:t>
            </w:r>
          </w:p>
        </w:tc>
        <w:tc>
          <w:tcPr>
            <w:tcW w:w="4985" w:type="dxa"/>
            <w:gridSpan w:val="3"/>
            <w:vAlign w:val="center"/>
          </w:tcPr>
          <w:p>
            <w:pPr>
              <w:ind w:firstLine="600" w:firstLineChars="2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委托     □法律援助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机构委托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统一接受委托</w:t>
            </w:r>
          </w:p>
        </w:tc>
        <w:tc>
          <w:tcPr>
            <w:tcW w:w="4985" w:type="dxa"/>
            <w:gridSpan w:val="3"/>
            <w:vAlign w:val="center"/>
          </w:tcPr>
          <w:p>
            <w:pPr>
              <w:ind w:firstLine="600" w:firstLineChars="2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统一收费</w:t>
            </w:r>
          </w:p>
        </w:tc>
        <w:tc>
          <w:tcPr>
            <w:tcW w:w="4985" w:type="dxa"/>
            <w:gridSpan w:val="3"/>
            <w:vAlign w:val="center"/>
          </w:tcPr>
          <w:p>
            <w:pPr>
              <w:ind w:firstLine="600" w:firstLineChars="2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同 案 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（关联人）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数量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spacing w:line="276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本所在接受两名及以上的同案犯罪嫌疑人、被告人的委托，分别指派不同的律师担任辩护人的，须告知委托人并经其同意（附书证）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报告备案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向属地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司法局、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律师协会备案时间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（附报备表）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向案件管辖地律师协会备案时间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（附报备表）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重要问题或紧急事项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向协会、律师处等有关部门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报告情况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（附报告）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集体研究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无罪辩护或案件定性变更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研究情况（材料附后）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重大疑难案件集体研究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情况（材料附后）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特别重大疑难案件提请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研讨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情况（材料附后）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检查督导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案件全程跟踪责任人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律师所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全程跟踪检查督导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记录单（附后）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违规办案情形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（材料附后）</w:t>
            </w:r>
          </w:p>
        </w:tc>
        <w:tc>
          <w:tcPr>
            <w:tcW w:w="200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律师维权情形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（材料附后）</w:t>
            </w:r>
          </w:p>
        </w:tc>
        <w:tc>
          <w:tcPr>
            <w:tcW w:w="200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    案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书面结案报告提交时间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（报告附后并报备协会）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档案管理保管责任人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bookmarkStart w:id="0" w:name="_GoBack"/>
      <w:bookmarkEnd w:id="0"/>
    </w:p>
    <w:sectPr>
      <w:pgSz w:w="11906" w:h="16838"/>
      <w:pgMar w:top="1135" w:right="1418" w:bottom="56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C3B4C"/>
    <w:rsid w:val="7BDC3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2018-07-16T06:26:00Z</dcterms:created>
  <dc:creator>天骄</dc:creator>
  <cp:lastModifiedBy>天骄</cp:lastModifiedBy>
  <dcterms:modified xsi:type="dcterms:W3CDTF">2018-07-16T06:28:29Z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