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pacing w:val="16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附表3</w:t>
      </w:r>
    </w:p>
    <w:p>
      <w:pPr>
        <w:jc w:val="center"/>
        <w:rPr>
          <w:rFonts w:hint="eastAsia" w:ascii="黑体" w:hAnsi="黑体" w:eastAsia="黑体"/>
          <w:spacing w:val="16"/>
          <w:sz w:val="36"/>
          <w:szCs w:val="36"/>
        </w:rPr>
      </w:pPr>
      <w:r>
        <w:rPr>
          <w:rFonts w:hint="eastAsia" w:ascii="黑体" w:hAnsi="黑体" w:eastAsia="黑体"/>
          <w:spacing w:val="16"/>
          <w:sz w:val="36"/>
          <w:szCs w:val="36"/>
        </w:rPr>
        <w:t>新的社会阶层代表人士推荐名额分配表</w:t>
      </w:r>
    </w:p>
    <w:p>
      <w:pPr>
        <w:rPr>
          <w:rFonts w:hint="eastAsia" w:ascii="黑体" w:hAnsi="黑体" w:eastAsia="黑体"/>
          <w:spacing w:val="16"/>
          <w:sz w:val="10"/>
          <w:szCs w:val="10"/>
        </w:rPr>
      </w:pP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0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主要推荐方向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市网信办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新媒体从业人员、网络意见人士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市工信局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民营企业管理技术人员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市民政局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社会组织从业人员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市司法局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市财政局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市文广新局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文艺领域自由职业人员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市工商局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外商投资企业管理技术人员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市投资促进局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外商投资企业管理技术人员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市国税局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税务师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市地税局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税务师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市总工会、团市委、市妇联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所联系领域中的新的社会阶层代表人士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市科协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专利代理人及科技领域自由职业人员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市文联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网络作家、书画家等自由职业人员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市工商联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民营企业管理技术人员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30人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361" w:right="2041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70CCB"/>
    <w:rsid w:val="11570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2018-05-29T08:08:00Z</dcterms:created>
  <dc:creator>lenovo</dc:creator>
  <cp:lastModifiedBy>lenovo</cp:lastModifiedBy>
  <dcterms:modified xsi:type="dcterms:W3CDTF">2018-05-29T08:08:55Z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