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i w:val="0"/>
          <w:snapToGrid/>
          <w:color w:val="333333"/>
          <w:sz w:val="44"/>
          <w:szCs w:val="44"/>
          <w:shd w:val="clear" w:color="auto" w:fill="FFFFFF"/>
          <w:lang w:val="en-US" w:eastAsia="zh-CN"/>
        </w:rPr>
      </w:pPr>
      <w:r>
        <w:rPr>
          <w:rFonts w:hint="eastAsia" w:ascii="黑体" w:hAnsi="黑体" w:eastAsia="黑体" w:cs="黑体"/>
          <w:b w:val="0"/>
          <w:i w:val="0"/>
          <w:snapToGrid/>
          <w:color w:val="333333"/>
          <w:sz w:val="44"/>
          <w:szCs w:val="44"/>
          <w:shd w:val="clear" w:color="auto" w:fill="FFFFFF"/>
          <w:lang w:val="en-US" w:eastAsia="zh-CN"/>
        </w:rPr>
        <w:t>承 诺 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本人知悉申请执业所依据的法律法规。现就申请律师执业作出下列承诺：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1.所填写和提交的材料真实、准确并愿意承担相应的法律后果。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2.未因故意犯罪受过刑事处罚。</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3.没有开除公职或被吊销律师执业证书的情况。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4.符合《律师法》《律师执业管理办法》专职律师执业要求。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5.如具有中共党员身份，在办理律师执业后三个月内将党组织关系转接至律师事务所所属党支部。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 xml:space="preserve">                                  承诺人：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我单位已对承诺人有关情况进行了调查核实，该同志承诺内容属实。同时，我单位负责监督指导具有中共党员身份的执业人员及时办理党组织关系转接。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 xml:space="preserve">                    律师事务所负责人：（负责人签字并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 xml:space="preserve">                                       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仿宋_GB2312"/>
          <w:b w:val="0"/>
          <w:i w:val="0"/>
          <w:caps w:val="0"/>
          <w:color w:val="000000"/>
          <w:spacing w:val="0"/>
          <w:sz w:val="32"/>
          <w:szCs w:val="32"/>
          <w:shd w:val="clear" w:color="auto" w:fill="FEFFFF"/>
          <w:lang w:eastAsia="zh-CN"/>
        </w:rPr>
      </w:pPr>
      <w:r>
        <w:rPr>
          <w:rFonts w:hint="eastAsia" w:ascii="仿宋" w:hAnsi="仿宋" w:eastAsia="仿宋" w:cs="仿宋"/>
          <w:b w:val="0"/>
          <w:i w:val="0"/>
          <w:snapToGrid/>
          <w:color w:val="333333"/>
          <w:sz w:val="32"/>
          <w:szCs w:val="32"/>
          <w:shd w:val="clear" w:color="auto" w:fill="FFFFFF"/>
          <w:lang w:val="en-US" w:eastAsia="zh-CN"/>
        </w:rPr>
        <w:t xml:space="preserve">                                     年  月  日</w:t>
      </w:r>
    </w:p>
    <w:p/>
    <w:sectPr>
      <w:pgSz w:w="11906" w:h="16838"/>
      <w:pgMar w:top="2041" w:right="1304" w:bottom="1984"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66D49"/>
    <w:rsid w:val="33B66D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2018-05-03T03:08:00Z</dcterms:created>
  <dc:creator>lenovo</dc:creator>
  <cp:lastModifiedBy>lenovo</cp:lastModifiedBy>
  <dcterms:modified xsi:type="dcterms:W3CDTF">2018-05-03T03:09:35Z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