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7" w:lineRule="exact"/>
        <w:ind w:left="0" w:leftChars="0" w:right="0" w:rightChars="0" w:firstLine="0" w:firstLineChars="0"/>
        <w:jc w:val="both"/>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7" w:lineRule="exact"/>
        <w:ind w:left="0" w:leftChars="0" w:right="0" w:rightChars="0" w:firstLine="0" w:firstLineChars="0"/>
        <w:jc w:val="center"/>
        <w:textAlignment w:val="auto"/>
        <w:outlineLvl w:val="9"/>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77" w:lineRule="exact"/>
        <w:ind w:left="0" w:leftChars="0" w:right="0" w:rightChars="0" w:firstLine="0" w:firstLineChars="0"/>
        <w:jc w:val="center"/>
        <w:textAlignment w:val="auto"/>
        <w:outlineLvl w:val="9"/>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77"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lang w:val="en-US" w:eastAsia="zh-CN"/>
        </w:rPr>
      </w:pPr>
      <w:r>
        <w:rPr>
          <w:rFonts w:hint="eastAsia" w:ascii="宋体" w:hAnsi="宋体" w:eastAsia="宋体" w:cs="宋体"/>
          <w:sz w:val="28"/>
          <w:szCs w:val="28"/>
          <w:lang w:val="en-US" w:eastAsia="zh-CN"/>
        </w:rPr>
        <w:t>　　　　　　　　　　　　　　　　　　　</w:t>
      </w:r>
      <w:r>
        <w:rPr>
          <w:rFonts w:hint="eastAsia" w:ascii="仿宋" w:hAnsi="仿宋" w:eastAsia="仿宋" w:cs="仿宋"/>
          <w:sz w:val="32"/>
          <w:szCs w:val="32"/>
          <w:lang w:val="en-US" w:eastAsia="zh-CN"/>
        </w:rPr>
        <w:t xml:space="preserve">冀律协[2017]39号 </w:t>
      </w:r>
      <w:r>
        <w:rPr>
          <w:rFonts w:hint="eastAsia" w:ascii="仿宋" w:hAnsi="仿宋" w:eastAsia="仿宋" w:cs="仿宋"/>
          <w:sz w:val="44"/>
          <w:szCs w:val="44"/>
          <w:lang w:val="en-US" w:eastAsia="zh-CN"/>
        </w:rPr>
        <w:t xml:space="preserve">  </w:t>
      </w:r>
      <w:r>
        <w:rPr>
          <w:rFonts w:hint="eastAsia" w:ascii="方正小标宋_GBK" w:hAnsi="方正小标宋_GBK" w:eastAsia="方正小标宋_GBK" w:cs="方正小标宋_GBK"/>
          <w:sz w:val="44"/>
          <w:szCs w:val="44"/>
          <w:lang w:val="en-US" w:eastAsia="zh-CN"/>
        </w:rPr>
        <w:t xml:space="preserve">                          </w:t>
      </w:r>
    </w:p>
    <w:p>
      <w:pPr>
        <w:jc w:val="center"/>
        <w:rPr>
          <w:rFonts w:hint="eastAsia" w:ascii="方正小标宋_GBK" w:hAnsi="方正小标宋_GBK" w:eastAsia="方正小标宋_GBK" w:cs="方正小标宋_GBK"/>
          <w:sz w:val="36"/>
          <w:szCs w:val="36"/>
          <w:lang w:val="en-US" w:eastAsia="zh-CN"/>
        </w:rPr>
      </w:pPr>
    </w:p>
    <w:p>
      <w:pPr>
        <w:jc w:val="center"/>
        <w:rPr>
          <w:rFonts w:hint="eastAsia" w:ascii="方正小标宋_GBK" w:hAnsi="方正小标宋_GBK" w:eastAsia="方正小标宋_GBK" w:cs="方正小标宋_GBK"/>
          <w:sz w:val="36"/>
          <w:szCs w:val="36"/>
          <w:lang w:val="en-US" w:eastAsia="zh-CN"/>
        </w:rPr>
      </w:pPr>
      <w:r>
        <w:rPr>
          <w:rFonts w:hint="eastAsia" w:ascii="方正小标宋_GBK" w:hAnsi="方正小标宋_GBK" w:eastAsia="方正小标宋_GBK" w:cs="方正小标宋_GBK"/>
          <w:sz w:val="36"/>
          <w:szCs w:val="36"/>
          <w:lang w:val="en-US" w:eastAsia="zh-CN"/>
        </w:rPr>
        <w:t>河北省律师协会</w:t>
      </w:r>
    </w:p>
    <w:p>
      <w:pPr>
        <w:jc w:val="center"/>
        <w:rPr>
          <w:rFonts w:hint="eastAsia" w:ascii="方正小标宋_GBK" w:hAnsi="方正小标宋_GBK" w:eastAsia="方正小标宋_GBK" w:cs="方正小标宋_GBK"/>
          <w:sz w:val="36"/>
          <w:szCs w:val="36"/>
          <w:lang w:val="en-US" w:eastAsia="zh-CN"/>
        </w:rPr>
      </w:pPr>
      <w:r>
        <w:rPr>
          <w:rFonts w:hint="eastAsia" w:ascii="方正小标宋_GBK" w:hAnsi="方正小标宋_GBK" w:eastAsia="方正小标宋_GBK" w:cs="方正小标宋_GBK"/>
          <w:sz w:val="36"/>
          <w:szCs w:val="36"/>
          <w:lang w:val="en-US" w:eastAsia="zh-CN"/>
        </w:rPr>
        <w:t>关于征集第二届“北方律师发展论坛”论文的</w:t>
      </w:r>
    </w:p>
    <w:p>
      <w:pPr>
        <w:jc w:val="center"/>
        <w:rPr>
          <w:rFonts w:hint="eastAsia" w:ascii="方正小标宋_GBK" w:hAnsi="方正小标宋_GBK" w:eastAsia="方正小标宋_GBK" w:cs="方正小标宋_GBK"/>
          <w:sz w:val="36"/>
          <w:szCs w:val="36"/>
          <w:lang w:val="en-US" w:eastAsia="zh-CN"/>
        </w:rPr>
      </w:pPr>
      <w:r>
        <w:rPr>
          <w:rFonts w:hint="eastAsia" w:ascii="方正小标宋_GBK" w:hAnsi="方正小标宋_GBK" w:eastAsia="方正小标宋_GBK" w:cs="方正小标宋_GBK"/>
          <w:sz w:val="36"/>
          <w:szCs w:val="36"/>
          <w:lang w:val="en-US" w:eastAsia="zh-CN"/>
        </w:rPr>
        <w:t>通知</w:t>
      </w:r>
    </w:p>
    <w:p>
      <w:pPr>
        <w:rPr>
          <w:rFonts w:ascii="黑体" w:hAnsi="黑体" w:eastAsia="黑体" w:cs="黑体"/>
          <w:sz w:val="32"/>
          <w:szCs w:val="32"/>
        </w:rPr>
      </w:pPr>
    </w:p>
    <w:p>
      <w:pPr>
        <w:rPr>
          <w:rFonts w:hint="eastAsia" w:ascii="仿宋" w:hAnsi="仿宋" w:eastAsia="仿宋" w:cs="仿宋"/>
          <w:w w:val="100"/>
          <w:sz w:val="32"/>
          <w:szCs w:val="32"/>
          <w:lang w:val="en-US" w:eastAsia="zh-CN"/>
        </w:rPr>
      </w:pPr>
      <w:r>
        <w:rPr>
          <w:rFonts w:hint="eastAsia" w:ascii="仿宋" w:hAnsi="仿宋" w:eastAsia="仿宋" w:cs="仿宋"/>
          <w:w w:val="100"/>
          <w:sz w:val="32"/>
          <w:szCs w:val="32"/>
          <w:lang w:val="en-US" w:eastAsia="zh-CN"/>
        </w:rPr>
        <w:t>各市律师协会，省律师协会定州、辛集分会，省律师协会各专门、专业委员会，省直各律师事务所：</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第二届“北方律师发展论坛”</w:t>
      </w:r>
      <w:r>
        <w:rPr>
          <w:rFonts w:hint="eastAsia" w:ascii="仿宋_GB2312" w:hAnsi="仿宋_GB2312" w:eastAsia="仿宋_GB2312" w:cs="仿宋_GB2312"/>
          <w:sz w:val="32"/>
          <w:szCs w:val="32"/>
          <w:lang w:eastAsia="zh-CN"/>
        </w:rPr>
        <w:t>将于</w:t>
      </w:r>
      <w:r>
        <w:rPr>
          <w:rFonts w:hint="eastAsia" w:ascii="仿宋_GB2312" w:hAnsi="仿宋_GB2312" w:eastAsia="仿宋_GB2312" w:cs="仿宋_GB2312"/>
          <w:sz w:val="32"/>
          <w:szCs w:val="32"/>
        </w:rPr>
        <w:t>12月上旬在北京市举办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本届论坛由北京、天津、河北、山西、内蒙古、辽宁、吉林、黑龙江、山东</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省</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律师协会主办，北京市律师协会承办。为做好论坛论文征集工作，有关事项</w:t>
      </w:r>
      <w:r>
        <w:rPr>
          <w:rFonts w:hint="eastAsia" w:ascii="仿宋_GB2312" w:hAnsi="仿宋_GB2312" w:eastAsia="仿宋_GB2312" w:cs="仿宋_GB2312"/>
          <w:sz w:val="32"/>
          <w:szCs w:val="32"/>
          <w:lang w:eastAsia="zh-CN"/>
        </w:rPr>
        <w:t>通知</w:t>
      </w:r>
      <w:bookmarkStart w:id="0" w:name="_GoBack"/>
      <w:bookmarkEnd w:id="0"/>
      <w:r>
        <w:rPr>
          <w:rFonts w:hint="eastAsia" w:ascii="仿宋_GB2312" w:hAnsi="仿宋_GB2312" w:eastAsia="仿宋_GB2312" w:cs="仿宋_GB2312"/>
          <w:sz w:val="32"/>
          <w:szCs w:val="32"/>
        </w:rPr>
        <w:t>如下：</w:t>
      </w:r>
    </w:p>
    <w:p>
      <w:pPr>
        <w:ind w:firstLine="640" w:firstLineChars="200"/>
        <w:rPr>
          <w:rFonts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、参考题目</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为便于律师撰写论文，论坛组委会拟定了论文参考题目（见附件）</w:t>
      </w:r>
      <w:r>
        <w:rPr>
          <w:rFonts w:hint="eastAsia" w:ascii="仿宋_GB2312" w:hAnsi="仿宋_GB2312" w:eastAsia="仿宋_GB2312" w:cs="仿宋_GB2312"/>
          <w:sz w:val="32"/>
          <w:szCs w:val="32"/>
          <w:lang w:eastAsia="zh-CN"/>
        </w:rPr>
        <w:t>。</w:t>
      </w:r>
    </w:p>
    <w:p>
      <w:pPr>
        <w:ind w:firstLine="640" w:firstLineChars="200"/>
        <w:rPr>
          <w:rFonts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、论文要求</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1.命题科学，结构紧凑，论述清晰，逻辑严密，合理运用法言法语。字数1500字—1800字，严禁抄袭拼凑。</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论文统一采用Word文档进行编辑。具体结构如下：首行内容，标题（2号黑体、居中）；次行内容，副标题（小2号仿宋体，文字前加破折号，右侧对齐），若无副标题，则为作者姓名+工作单位（3号楷体，居中）；空一行后，为正文。</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3.正文部分格式（3号仿宋体，每段首起空两格，单倍行距）：</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①一级标题：标题序号为“一、”，3号黑体，独占行，末尾不加标点符号。</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②二级标题：标题序号为“（一）”，3号仿宋体加粗，独占行，末尾不加标点符号。</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③三级标题：标题序号为“ 1、 ” ，3号仿宋体加粗。</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④四级标题：标题序号为“（1）”，3号仿宋体。</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⑤五级标题：标题序号为“ ① ” ，3号仿宋体。</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⑥注释：4号宋体，内容为5号宋体。</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⑦附录：4号宋体，内容为5号宋体。</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⑧参考文献：另起页，4号宋体，内容为5号宋体。</w:t>
      </w:r>
    </w:p>
    <w:p>
      <w:pPr>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三、论文征集</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以各市律协、省律协两专委员会、省直律所为单位，积极组织撰写论文。其中，各市律协分别报送2篇（石家庄、保定、唐山、邯郸各4篇）；省律协各专门、专业委员会分别报送4篇（专门委员会侧重行业发展方面，专业委员会侧重业务方面）；省直律所50人以上的报送2篇，其它1篇（侧重管理方面）。</w:t>
      </w:r>
    </w:p>
    <w:p>
      <w:p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四、论文推荐</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eastAsia="zh-CN"/>
        </w:rPr>
        <w:t>本届论坛</w:t>
      </w:r>
      <w:r>
        <w:rPr>
          <w:rFonts w:hint="eastAsia" w:ascii="仿宋_GB2312" w:hAnsi="仿宋_GB2312" w:eastAsia="仿宋_GB2312" w:cs="仿宋_GB2312"/>
          <w:sz w:val="32"/>
          <w:szCs w:val="32"/>
        </w:rPr>
        <w:t>获奖论文共设96篇（一等奖18篇、二等奖36篇、三等奖42篇）。</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省律师协会将组成评选委员会，对各单位报送的论文，统一评选，择优向论坛承办方推荐。同时，从省律协推荐的论文中，选出</w:t>
      </w:r>
      <w:r>
        <w:rPr>
          <w:rFonts w:hint="eastAsia" w:ascii="仿宋_GB2312" w:hAnsi="仿宋_GB2312" w:eastAsia="仿宋_GB2312" w:cs="仿宋_GB2312"/>
          <w:sz w:val="32"/>
          <w:szCs w:val="32"/>
          <w:lang w:val="en-US" w:eastAsia="zh-CN"/>
        </w:rPr>
        <w:t>4篇，作为分论坛演讲论文（此次论坛设行业、管理、业务一、业务二等四个分论坛）。</w:t>
      </w:r>
    </w:p>
    <w:p>
      <w:pPr>
        <w:ind w:firstLine="640" w:firstLineChars="200"/>
        <w:rPr>
          <w:rFonts w:hint="eastAsia" w:ascii="黑体" w:hAnsi="黑体" w:eastAsia="黑体" w:cs="黑体"/>
          <w:sz w:val="32"/>
          <w:szCs w:val="32"/>
        </w:rPr>
      </w:pPr>
      <w:r>
        <w:rPr>
          <w:rFonts w:hint="eastAsia" w:ascii="黑体" w:hAnsi="黑体" w:eastAsia="黑体" w:cs="黑体"/>
          <w:sz w:val="32"/>
          <w:szCs w:val="32"/>
          <w:lang w:val="en-US" w:eastAsia="zh-CN"/>
        </w:rPr>
        <w:t>五、报送</w:t>
      </w:r>
      <w:r>
        <w:rPr>
          <w:rFonts w:hint="eastAsia" w:ascii="黑体" w:hAnsi="黑体" w:eastAsia="黑体" w:cs="黑体"/>
          <w:sz w:val="32"/>
          <w:szCs w:val="32"/>
          <w:lang w:eastAsia="zh-CN"/>
        </w:rPr>
        <w:t>日期</w:t>
      </w:r>
    </w:p>
    <w:p>
      <w:pPr>
        <w:ind w:firstLine="640" w:firstLineChars="2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各市、省律协各专门、专业委员会、省直各所要高度重视，认真组织，加强指导，按照任务数量，及时优质的做好论文报送工作。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由于时间紧张，请各单位务</w:t>
      </w:r>
      <w:r>
        <w:rPr>
          <w:rFonts w:hint="eastAsia" w:ascii="仿宋_GB2312" w:hAnsi="仿宋_GB2312" w:eastAsia="仿宋_GB2312" w:cs="仿宋_GB2312"/>
          <w:sz w:val="32"/>
          <w:szCs w:val="32"/>
        </w:rPr>
        <w:t>于2017年11月</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日前</w:t>
      </w:r>
      <w:r>
        <w:rPr>
          <w:rFonts w:hint="eastAsia" w:ascii="仿宋_GB2312" w:hAnsi="仿宋_GB2312" w:eastAsia="仿宋_GB2312" w:cs="仿宋_GB2312"/>
          <w:sz w:val="32"/>
          <w:szCs w:val="32"/>
          <w:lang w:eastAsia="zh-CN"/>
        </w:rPr>
        <w:t>，将论文电子版报送省</w:t>
      </w:r>
      <w:r>
        <w:rPr>
          <w:rFonts w:hint="eastAsia" w:ascii="仿宋_GB2312" w:hAnsi="仿宋_GB2312" w:eastAsia="仿宋_GB2312" w:cs="仿宋_GB2312"/>
          <w:sz w:val="32"/>
          <w:szCs w:val="32"/>
        </w:rPr>
        <w:t>律协</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邮箱：</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"mailto:heblvshi@126.com" </w:instrText>
      </w:r>
      <w:r>
        <w:rPr>
          <w:rFonts w:hint="eastAsia" w:ascii="仿宋_GB2312" w:hAnsi="仿宋_GB2312" w:eastAsia="仿宋_GB2312" w:cs="仿宋_GB2312"/>
          <w:sz w:val="32"/>
          <w:szCs w:val="32"/>
          <w:lang w:val="en-US" w:eastAsia="zh-CN"/>
        </w:rPr>
        <w:fldChar w:fldCharType="separate"/>
      </w:r>
      <w:r>
        <w:rPr>
          <w:rStyle w:val="6"/>
          <w:rFonts w:hint="eastAsia" w:ascii="仿宋_GB2312" w:hAnsi="仿宋_GB2312" w:eastAsia="仿宋_GB2312" w:cs="仿宋_GB2312"/>
          <w:sz w:val="32"/>
          <w:szCs w:val="32"/>
          <w:lang w:val="en-US" w:eastAsia="zh-CN"/>
        </w:rPr>
        <w:t>heblvshi@126.com</w:t>
      </w:r>
      <w:r>
        <w:rPr>
          <w:rFonts w:hint="eastAsia" w:ascii="仿宋_GB2312" w:hAnsi="仿宋_GB2312" w:eastAsia="仿宋_GB2312" w:cs="仿宋_GB2312"/>
          <w:sz w:val="32"/>
          <w:szCs w:val="32"/>
          <w:lang w:val="en-US" w:eastAsia="zh-CN"/>
        </w:rPr>
        <w:fldChar w:fldCharType="end"/>
      </w:r>
    </w:p>
    <w:p>
      <w:pPr>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联系人：乔羽，0311－83899957.</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附：论文参考题目</w:t>
      </w: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河北省律师协会</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2017年11月6日</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附件 ：</w:t>
      </w:r>
    </w:p>
    <w:p>
      <w:pPr>
        <w:jc w:val="center"/>
        <w:rPr>
          <w:rFonts w:ascii="黑体" w:hAnsi="黑体" w:eastAsia="黑体" w:cs="黑体"/>
          <w:sz w:val="32"/>
          <w:szCs w:val="32"/>
        </w:rPr>
      </w:pPr>
      <w:r>
        <w:rPr>
          <w:rFonts w:hint="eastAsia" w:ascii="黑体" w:hAnsi="黑体" w:eastAsia="黑体" w:cs="黑体"/>
          <w:sz w:val="32"/>
          <w:szCs w:val="32"/>
        </w:rPr>
        <w:t>论文参考题目</w:t>
      </w:r>
    </w:p>
    <w:p>
      <w:pPr>
        <w:ind w:firstLine="643" w:firstLineChars="200"/>
        <w:rPr>
          <w:rFonts w:ascii="仿宋_GB2312" w:hAnsi="仿宋_GB2312" w:eastAsia="仿宋_GB2312" w:cs="仿宋_GB2312"/>
          <w:b/>
          <w:bCs/>
          <w:sz w:val="32"/>
          <w:szCs w:val="32"/>
        </w:rPr>
      </w:pPr>
    </w:p>
    <w:p>
      <w:pPr>
        <w:ind w:firstLine="640" w:firstLineChars="200"/>
        <w:rPr>
          <w:rFonts w:ascii="黑体" w:hAnsi="黑体" w:eastAsia="黑体" w:cs="黑体"/>
          <w:sz w:val="32"/>
          <w:szCs w:val="32"/>
        </w:rPr>
      </w:pPr>
      <w:r>
        <w:rPr>
          <w:rFonts w:hint="eastAsia" w:ascii="黑体" w:hAnsi="黑体" w:eastAsia="黑体" w:cs="黑体"/>
          <w:sz w:val="32"/>
          <w:szCs w:val="32"/>
        </w:rPr>
        <w:t>一、行业篇</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“十九大”精神对律师行业发展的指引</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深化司法体制改革在新时期面临的挑战与机遇</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新时期如何落实司法责任制</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从十九大报告中的法治元素看新时期的法治建设</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如何加强宪法在新时期的基石作用</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从中国共产党十九大看深化依法治国实践的新方向</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如何发挥律师在新时期法制建设中的作用</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中国新时期民主法治建设——赋予法律职业共同体的机遇与挑战</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论如何将“提高全民族法治素养”落到实处</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律师在中国特色社会主义法制体系建设过程中的作用。</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律师参与法治国家、法治政府、法治社会一体建设中的角度与态度。</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律师应是发展中国特色社会主义法治理论的排头兵。</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浅析律师在提高全民族法治素养和道德素质过程中的重要性。</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浅谈如何推进反腐败国家立法</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论《国家监察法》—监察委员的职责权限和调查手段</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论留置取代“两规”措施如何运作 </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论制度在反腐败中的重要性</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谈立法在建立健全绿色低循环发展的经济体系中的作用</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浅谈绿色生产和消费的法律制度的立法要点</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如何加快生态文明体制改革</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论合宪性审查工作的重要性</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论如何开展合宪性审查工作 </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如何健全国家安全法律制度</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浅谈立法在农村基层工作中的作用</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如何健全乡村治理的法律体系</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如何完善国家机构组织法</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论如何完善法制保障的社会治理体制</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论如何深化司法体制综合配套改革</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全面推进依法治国与民主法治建设重大成就</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科学立法与全面推进依法治国</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严格执法与全面推进依法治国</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公正司法与全面推进依法治国</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全民守法与全面推进依法治国</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法律面前人人平等与全面推进依法治国</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法治与德治相结合</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坚持从中国实际出发与全面推进依法治国</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“一国两制”与港澳全面管制权</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农业农村制度与乡村振兴战略</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成立中央全面依法治国小组与深化依法治国实践</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完善国家机构组织法与政府职能转变</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完善化解社会矛盾机制建设与创新社会治理</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健全公共安全体系、完善安全生产责任制</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打击黄赌毒犯罪与社会治安防控体制建设</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完善生态立法与改革生态环境监管体制</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统一行使监管城乡各类污染排放和行政执法职责</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制定国家监察法与健全国家监督体系</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国家监察委员会的构建</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深化司法体制改革,提高全民族法治素养和道德素质</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司法改革影响下的律师行业现状及未来</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律师在深化司法体制改革中的执业环境变化与应对</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法官员额制对破产管理人制度完善的启示意义</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破产立案登记制对破产行业发展的影响</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“执转破”制度对破产律师业务发展的意义</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破产法的实施与政府依法行政的关系</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预重整制度实践意义与反思</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中国梦之律师对司法改革的期待</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中国进入特色社会主义新时代对破产业务发展的机遇与挑战</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新常态下律所如何加强品牌建设提升整体竞争力</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新常态下如何加强律所破产业务团队建设</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与时俱进律所管理迈向新时代</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“十三五”规划与北方律师的发展机遇</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发挥律师职能作用，做好“十三五”时期律师法律服务工作</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律协落实“严管厚爱”要求的具体举措</w:t>
      </w:r>
    </w:p>
    <w:p>
      <w:pPr>
        <w:numPr>
          <w:ilvl w:val="0"/>
          <w:numId w:val="1"/>
        </w:numP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律师行业党建工作，关键在律协党委</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律所党建工作研究</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社会主义法治理念与律师责任和使命的关系</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律师的社会主义政治属性</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社会主义法治理念指导下的律师责任与使命</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律师的社会责任</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律师是依法治国的实践者</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法律职业共同体建设与社会公平正义的保障</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法律职业共同体构建机制中律师流动机制与保障</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律师在国家立法中的作用</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律师在地方立法建设中的作用</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践行律师使命——发挥律师在依法治国中的职能作用</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律师行业党建与行业自律管理的实践和经验</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法治政府建设背景下从供给侧看律师法律服务的方式</w:t>
      </w:r>
    </w:p>
    <w:p>
      <w:pPr>
        <w:numPr>
          <w:ilvl w:val="0"/>
          <w:numId w:val="1"/>
        </w:numP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律师在规范行政执法工作中的作用</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律师协会维权中心与投诉中心的实践与经验</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舆论对司法的影响</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自治与参与：律师管理创新中的律师协会</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新时期律师协会的重新定位</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论新时期我国律师协会的主要任务</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论新时期律师协会的改革</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新时期律师协会工作的着力点与创新点</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从继承与传承:一种使命与责任的创新</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政府法律顾问与政府专项法律服务之间的工作界限与收费机制</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“互联网+政务服务”与服务型政府建设中律师如何作为</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互联网思维与法律发展</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互联网时代为律师开展业务提供更好平台</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重大行政决策风险防范实务研究</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律师参与征地及国有土地上房屋征收项目经验</w:t>
      </w:r>
    </w:p>
    <w:p>
      <w:pPr>
        <w:numPr>
          <w:ilvl w:val="0"/>
          <w:numId w:val="1"/>
        </w:numP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社会治理精细化给律师业务带来的机遇</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一带一路中的法律先行军</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一带一路战略下的法律直通与律师服务</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借力“一带一路”开展跨境合作，实现法律服务国际化</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新领域·新途径——互联网+时代的律师业务发展</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经济发展新常态下如何进一步发挥律师职责参与法治建设</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促进科技创新成果资本化、产业化中律师的职责</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服务生态文明建设，依法做好环境保护法律服务</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律师在社会治安综合治理中的作用</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对律师服务社会管理创新的思考</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新时期维护当事人合法权益的新要求</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律师执业与促进全方位对外开放</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律师在国家治理体系现代化建设中的作用</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律师在社会管理创新中的地位和作用</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律师介入涉诉涉法信访工作的机制探讨</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律师在社会主义核心价值观建设中的作用</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社会主义法治工作者的历史使命和具体体现</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政府法律服务市场的新动向与发展趋势</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行政争议的多元解决机制研究</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简政放权背景下行政法律制度的衔接</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律师参与行政立法研究</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政府与社会资本合作的法律问题研究</w:t>
      </w:r>
    </w:p>
    <w:p>
      <w:pPr>
        <w:numPr>
          <w:ilvl w:val="0"/>
          <w:numId w:val="1"/>
        </w:numP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司法改革背景下的律师行业的担当及未来</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法官员额制对破产管理人制度修改的启示意义</w:t>
      </w:r>
    </w:p>
    <w:p>
      <w:pPr>
        <w:numPr>
          <w:ilvl w:val="0"/>
          <w:numId w:val="1"/>
        </w:numP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公益法律服务是律师行业的社会责任吗？</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以审判为中心诉讼制度改革对律师刑事辩护的机遇与挑战</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司法改革与有效辩护</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司法改革中刑事辩护新契机</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以审判为中心的诉讼制度下刑事辩护新思路</w:t>
      </w:r>
    </w:p>
    <w:p>
      <w:pPr>
        <w:numPr>
          <w:ilvl w:val="0"/>
          <w:numId w:val="1"/>
        </w:numP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刑事辩护律师执业权利的有效保障</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律师在民主与法律建设中的地位与作用</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律师行业自治问题研究</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大数据条件下司法改革中律师参与机制与作用</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热点案件成为全民共享的法治公开课</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职业理想与生命追求</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从政治和全局高度看待律师事业发展</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增强律协的向心力和凝聚力</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规模创新还是制度创新</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队伍建设与形象建设的协调发展</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保障权利、守住底线、打造品牌</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司法行政和律师行业的协调发展</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律师业与新媒体</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抓住行业党建就抓住了行业发展的龙头</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理想信念是行业党建之魂</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思想建党：律师要讲政治</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充分发挥北京律师业余党校在行业党建中的重要作用</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从国家政权建设的高度，看待律师行业发展党员严重滞后的问题</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下大决心改变律师党员“在政治上缺乏参政议政途径”的状态</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律师行业要加强政治文化研究</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律师行业党建工作，是意识形态领域反击和平演变，巩固社会主义政权的重要方面</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律师行业发展党员滞后的原因初探</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律师心中要有老百姓</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如何做好基层党支部书记</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两学一做：律师共产党员的五方面标准</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共产党员应当信仰马克思主义</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关于加强党员律师的道德修养问题</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法律的第一属性是政治属性</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将维护社会稳定和维护老百姓合法权益最大程度统一起来</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关于现代社会治理中的律师地位和作用</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律师要将思想政治素质放在第一位</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我们要以科学态度向西方学习</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社会主义法治理论基本原则初探</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依法诚信执业是律师执业的生命</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律师诚信执业始于和客户接触的第一分钟</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抵御诱惑：律师成长的九九八十一关</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论现代律师的师徒关系</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奉献和索取是律师成长的双行道</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律师的职业形象和职业精神</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律师心中要有一盏法律良心的明灯</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律师行业如何接受党的领导</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律师行业为什么要坚持正确政治方向</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律师行业是一支中立的社会力量吗</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为什么说三权分立不适合中国国情</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律师为什么要服务大局</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如何理解党的政策和法律适用的关系</w:t>
      </w:r>
    </w:p>
    <w:p>
      <w:pPr>
        <w:numPr>
          <w:ilvl w:val="0"/>
          <w:numId w:val="1"/>
        </w:numP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如何理解建立中国特色的社会主义民主制度</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如何理解“忠于党、忠于国家、忠于人民、忠于法律”？</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如何理解律师要不断增强走中国特色社会主义法治道路的自觉性和坚定性？</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律师党员要做业务创新的模范</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律师为疏解非首都功能“牛鼻子”，推动疏解整治提升提供法律服务经验及体会</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律师为“京津冀一体化”提供法律服务措施和体会</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“疏解非首都功能”工作中的“舍”与“得”关系是什么？</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律师为政府依法腾退工作提供法律保障及经验</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从法律视角看“疏解非首都功能”战略意义</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持续创新党建工作模式，构筑发挥文化平台作用</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论当前形势下的法律职业共同体的构建（如何构建及构建怎样的法律职业共同体）</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从律师中选拔法官、检察官制度研究</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司法体制改革对律师执业的影响</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律师体制改革之我见</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律师参与司法体制改革研究</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构建公检法司律联动的司法体制改革平台之研究</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律师在雄安新区建设中的作用</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当前律师执业领域问题及对策</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当前律师事务所管理中存在的问题及对策</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关于中国律师体制改革</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当前律师执业中存在的主要问题研究</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实行司法责任制对律师执业的影响</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关于民事再审案件立案制度的研究</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公职律师的法律地位及权利义务研究</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公司律师的法律地位及权利义务研究</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论公司律师（或公职律师）体制改革</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律师税收制度研究</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律师参与涉法涉诉案件制度研究</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建立健全律师人才培养选用制度研究</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关于建立健全政府购买法律服务制度研究</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完善律师执业权利救济制度研究</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构建律师和司法人员新型关系研究</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如何发挥律师在疏解非首都功能中的作用</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关于推行律师全面参与市场经济专业领域法律服务制度的研究</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如何发挥律师在实施“一带一路”经济带中的作用</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如何发挥律师在实施“京津冀协同发展”中的作用</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疏解非首都功能法律问题研究</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治理“背街小巷”法律问题研究</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如何发挥律师在北京城市副中心建设中的作用</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如何发挥律师在北京冬奥会筹办中的作用</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律师在多元化解矛盾中的特殊作用</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律师在国企改革中的特殊作用</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律师行业的竞争与传承</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我心中的律所榜样</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青年律师的政治参与和司改参与</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如何培养青年律师领军人物</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如何从青年律师成为优秀律师？</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青年律师的执业精神与专业化</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青年律师成长过程中存在的问题与对策</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青年律师如何成为好徒弟？律师如何成为好师傅？</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青年律师的传承与成长</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青年律师的困境与希望</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青年律师的成才之道</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青年律师的执业使命和责任</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青年律师如何建立良好的社会形象</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青年律师的现状分析与思考</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对青年律师的执业感想</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谈谈青年律师的执业观</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困惑与突破—青年律师发展之路</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青年律师竞争力的形成与提高——兼论青年律师如何拓展业务</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律师的成长与成功</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新时期青年律师执业信仰的塑造</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青年律师成长的三个关键因素：定位、思路和心态</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青年律师发展决定律师行业未来</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青年律师发展——自助与他助的关系</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律师的专业化与青年律师成长</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人才链的优化与青年律师的培养</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青年律师的使命与机遇</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平台选择对青年律师发展的影响</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执业发展规划对年轻律师的作用性</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青年律师培养路径探究</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青年律师如何利用互联网的优势，规划自身发展</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法治进程中青年律师的作用</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公益法律服务与青年律师成长</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勤奋和技巧的平衡与青年律师成长</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青年律师社会主义法治观的树立</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资深律师的带动作用与青年律师发展</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律师协会如何扶持在青年律师发展</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青年律师执业素养的形成</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律师事务所对青年律师发展的重要性</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青年律师的梦想</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在法治中国、法治政府的大背景下，青年律师如何把握机遇、迎接挑战</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青年律师在当前法治新形态下如何进行职业规划</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青年律师与公益法律服务</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青年律师“业务创新”面临的困境与突破</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青年律师如何在业务拓展与职业发展中求平衡</w:t>
      </w:r>
    </w:p>
    <w:p>
      <w:pPr>
        <w:numPr>
          <w:ilvl w:val="0"/>
          <w:numId w:val="1"/>
        </w:numP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如何提高青年律师的社会竞争力</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“一带一路”中青年律师的发展机遇和意义</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完善公平、效率的法律服务采购制度</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法律服务采购制度对律师行业管理的影响</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规范法律服务采购及律师行业管理</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法律顾问制度和公职律师公司律师制度对法律业务发展与律师行业管理的影响</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不断完善法律顾问提供法律意见与公开采购法律服务</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党政机关及国有企业外聘法律顾问的聘用条件研究</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律师协会在建立公平、效率法律服务方面的完善、提升措施</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“促进”与“规制”信息技术、人工智能等科技在法律服务行业中发展的价值、地位与作用</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信息技术、人工智能等科技在法律服务行业中的影响</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信息技术、人工智能等科技在法律服务行业对律师行业规则带来的变革</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网络、大数据、人工智能技术给法律服务行业带来的风险</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规范移动互联网、大数据和机器智能带来的法律服务行业的不正当竞争</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法律科技影响下法律服务行业的价值基础</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律协提升、发展律师行业的服务价值</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法律科技的发展对律师收费制度的影响</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信息技术、人工智能产品造成客户隐私损害法律责任的认定与承担</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律师协会完善行业规范的具体办法</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建立网络、大数据、人工智能等开发者在收集、使用数据的过程未经授权的检索、披露及丢失、泄露、损毁和篡改个人信息的律师行业规则</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建立公平、效率的行业管理</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律师协会在完善、促进、提升律师事务所发展中的作用</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律师事务所规模发展对律师行业规则的影响和变革</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律师协会完善、规范律师各类各式联合的措施</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律师协会完善、规范律师事务所之间各类各式联合的措施</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律师协会完善、促进、提升律师事务所及律师之间平等、效率、公平竞争的研究</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借力国家北方区域发展战略，实现北方区域律师资源整合</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京津冀一体化为律师破产业务发展带来的机遇与挑战</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京津冀协同发展，破产管理人名册能否实现跨区适用</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振兴东北老工业基地，需要破产制度发力</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振兴东北老工业基地为北方区域律师带来区域发展优势</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法律人工智能发展，对律师行业是冲击还是机遇</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发挥网络平台作用，实现破产行业律师资源整合</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新时代的金融法治建设促使律师行业新发展</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新时代国有企业混合所有制改革为律师行业发展带来新契机</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借力国家北方区域发展战略，实现北方区域律师资源整合</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“雄安新区”的设立对北方区域律师业务的影响</w:t>
      </w:r>
    </w:p>
    <w:p>
      <w:pPr>
        <w:ind w:firstLine="640" w:firstLineChars="200"/>
        <w:rPr>
          <w:rFonts w:ascii="仿宋_GB2312" w:hAnsi="仿宋_GB2312" w:eastAsia="仿宋_GB2312" w:cs="仿宋_GB2312"/>
          <w:sz w:val="32"/>
          <w:szCs w:val="32"/>
        </w:rPr>
      </w:pPr>
      <w:r>
        <w:rPr>
          <w:rFonts w:hint="eastAsia" w:ascii="黑体" w:hAnsi="黑体" w:eastAsia="黑体" w:cs="黑体"/>
          <w:sz w:val="32"/>
          <w:szCs w:val="32"/>
        </w:rPr>
        <w:t>二、管理篇</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互联网时代的律所如何为律师业务提供更好平台</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互联网+与律师事务所管理创新</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人工智能时代律所面临的挑战及应对</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信息化时代律所管理将要迎接的新挑战</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新常态下律所如何加强管理提升整体竞争力</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公司化一体化管理模式与传统管理模式的选择与融合</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律所差异化发展的可能和路径</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律所人才的培养与传承</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律师事务所的专业化发展</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律师事务所的客户管理与品牌管理</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律师事务所合并模式探析</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司法行政机关对律师和律师事务所日常监督管理浅议</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律师事务所管理方式与律师法修改建议</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大数据时代律师事务所发展与管理</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新形势下律师事务所内部管理的问题与对策</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律师事务所的领导力与发展战略</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培养卓越的律师团队与律师事务所的发展</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律师事务所管理模式与律师事务所发展</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保障律师执业权利与改善律师执业环境</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律师事务所在保障律师执业权利和规范律师执业行为中的作用</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律师事务所专职经理人的必要性与作用</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薪酬分配制度对律师事务所发展的影响</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公司化模式下的律师事务所分配制度研究</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松散型管理的律师事务所如何成功转型</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提成制、公司制与律所合力</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公司制与合伙制律师事务所管理比较研究</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资本投资律师事务所的可行性研究</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律师事务所的人才战略与薪酬设计</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律师事务所公司化管理与提成制分配模式的融合</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律师事务所总所与分所一体化管理研究</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律师事务所公司化管理的特点、优势与困境</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律师事务所资源整合研究</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律师事务所与所内专业事务部关系研究</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律师事务所的新机遇与新挑战</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新常态下的律师事务所品牌创新</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论互联网技术对律所知识管理的驱动</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互联网思维对传统律所的冲击及应对</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律所品牌如何在互联网乱像中脱颖而出</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依托互联网思维，创建专业化律所</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互联网对律所管理与创新的推进</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互联网思维下的法律服务</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律所APP的新世界</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律所如何利用互联网提升自我品牌</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律师队伍的现状、问题及对策探析</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律师信用体系建设之我见  </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浅谈律师队伍的诚信体系建设</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浅谈律师行业诚信制度的构建</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律师诚信体系建设研究</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律师执业环境现状与改善</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保障律师合法权利 依法规范律师管理</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新时期律师职业道德修养的新要求</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律师誓词与职业修养</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律师执业坚持法治精神的基本要求</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如何树立社会主义法治工作者的职业操守</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建立律师准入门槛制度</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律师退出机制探讨</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律师业务培训的形式与内容研究</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律师职业水平评价体系之我见</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辩护律师分级出庭制标准</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律师跨界发展与律所增值服务的探索与创新</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律所服务收费模式和策略的探索与创新</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律所文化对律师行业发展的作用</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律师事务所收入分配机制研究</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律师事务所的品牌传承</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律师事务所专职经理人管理的作用与必要性</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律师事务所专业化建设的理论与实践</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律所如何加强律师破产业务团队建设</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青年律师如何参与律所管理</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律所如何布局“一带一路”法律服务市场</w:t>
      </w:r>
    </w:p>
    <w:p>
      <w:pPr>
        <w:ind w:firstLine="640" w:firstLineChars="200"/>
        <w:rPr>
          <w:rFonts w:ascii="黑体" w:hAnsi="黑体" w:eastAsia="黑体" w:cs="黑体"/>
          <w:sz w:val="32"/>
          <w:szCs w:val="32"/>
        </w:rPr>
      </w:pPr>
      <w:r>
        <w:rPr>
          <w:rFonts w:hint="eastAsia" w:ascii="黑体" w:hAnsi="黑体" w:eastAsia="黑体" w:cs="黑体"/>
          <w:sz w:val="32"/>
          <w:szCs w:val="32"/>
        </w:rPr>
        <w:t>三、业务篇</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改革新时代，律师如何开拓新业务</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案源拓展的核心要素</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借助新媒体律师可以更好拓展业务</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人工智能能否取代破产律师地位</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经济增长新常态下的破产业务发展的机遇与挑战</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经济新常态下债权类不良资产的终极处置模式</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发挥破产法的经济价值，依法处置“僵尸企业”</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僵尸企业处置中的法律需求和律师参与</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对我国破产制度的研讨</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破产立案登记制对破产行业发展的影响</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“执转破”制度对破产律师业务发展的意义</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破产法的实施与政府依法行政的关系</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预重整制度实践意义与反思</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律师办理行政案件的互联网思维</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关于律师为新时期东北老工业基地振兴提供法律服务的思考</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律师如何在京津冀协同发展中发挥作用</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环渤海经济圈与律师业务拓展与提升</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律师如何参与国资国企改革</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“一带一路”中的金融服务法律风险</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“一带一路”背景下的律师法律服务</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“一带一路”建设中的法律适用冲突与解决</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“一带一路”建设中知识产权保护问题的探究</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我国海关法的修改与完善与“一带一路”战略</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实施“一带一路”战略的财税政策研究</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中国企业参与“一带一路”的法律风险防范</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多元化纠纷解决机制在“一带一路”战略中的应用</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环境保护法律问题与“一带一路”建设中</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论“一带一路”战略区跨境电子商务法律监管问题研究</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论“一带一路”建设中司法保障机制的构建</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“一带一路”战略下律师行业的机遇与挑战</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跨境税收法律问题研究</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律师商事法律服务如何为供给侧改革提供法律保障</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供给侧改革过程中法律服务切入点</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P2P网络贷款法律风险与防范</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国有企业实施混合所有制的法律问题</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金融创新背景下法律服务新模式研究</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掘金法律大数据</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中小企业“新三板”挂牌若干法律问题</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我国PPP法律问题研究</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PPP项目律师介入渠道及操作模式</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ppp业务中律师的作用</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p2p风险防范机制的构建</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金融市场化改革过程中的法律问题</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互联网形式下律师业务的路径优化</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互联网大数据对律师业务发展的机遇与挑战</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互联网时代如何借助IT技术转型</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“互联网”+新型法律服务生态圈</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新形势下律师业务的拓展与创新</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拓展律师新业务，推进律师业新发展</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积极拓展律师业务创新工程，满足多层次宽领域法律服务需求</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如何为中国企业“走出去”提供多样化的跨境法律服务</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中国企业海外上市法律服务</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律师在资本市场中的作用</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律师在并购项目尽职调查中的作用</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论律师如何为企业破产提供法律服务</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金融风险防范中律师的作用</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律师服务专业化路径探索</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股东优先购买权在继承和赠与案中的适用探讨</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股权转让中目标公司的隐性债务赔偿机制</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律师协会在提升律师专业化水平中的作用</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庭审制度改革与律师辩护业务的提升</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律师在民事诉讼庭前会议制度中的作用</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政府法律顾问的角色定位</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律师在事业单位转制中的作用</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企业品牌化经营中律师的作用</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律师在文化产业建设中的作用</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生态文明建设中律师的作用</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律师参与公益诉讼的价值取向</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IPO备案制律师风险管理</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电子数据证据的取得与使用</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律师代理消费者权益保护公益诉讼的工作要点</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民法总则视野下个人信息权的内涵与外延</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户籍改革背景下对“同命同价”问题的思考</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合同法中不安抗辩权制度在实践中的运用</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对合同解除制度在实践中疑难问题的思考</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以物抵债合同效力的分析与思考</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表见代理在实践中存在的问题</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债权转让过程中的法律问题分析</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处置地下停车位相关问题的法律分析</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网约车市场经营秩序法律问题研究</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夫妻共同债务的判断与认定</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案外人对生效民事判决的救济途径</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先予执行的理论与实践</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实现担保物权特别程序的疑难问题</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强制执行程序中追加被执行人的法律依据及实务操作</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执行程序中一套住房处置的实际操作</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情势变更情形的认定与法律适用</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效力性强制性规范和管理性强制性规范的认定</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刑事辩护中的法律风险防范</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职务犯罪案件辩护技巧</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刑民交叉案件中的合同效力</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法学理论在刑事辩护中的运用</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辩护人的保密权利与义务研究</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未成年人犯罪量刑研究</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终身监禁适用研究</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国家工作人员收受具有上下级关系的下属财物的认定问题</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刑事证据的审查与认定</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辨析疑罪从无与实践中的“疑罪从轻”</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排除非法证据的困境与对策</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刑事辩护的技巧与策略</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“认罪认罚从宽”的刑事政策与律师辩护</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贪污贿赂案件最新司法解释对刑事辩护的影响</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职务犯罪中准自首的认定</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关于新刑事诉讼下的刑事和解制度研究</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刑事辩护律师的真实义务</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刑事辩护律师的专业化</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刑事辩护的价值</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刑事辩护策略</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程序正义还是实体正义——刑事辩护的价值目标</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我国刑事辩护制度的新发展</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刑事辩护律师的调查权</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刑事诉讼中的普遍辩护和有效辩护问题</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刑事辩护律师权利之保障</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刑事案件庭审中辩护方的证明责任</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刑事司法鉴定中辩护方的权益保护</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刑事辩护中的法医学鉴定</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精神病人刑事辩护制度</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完善我国少年刑事司法制度</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刑事诉讼中的质证制度</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刑事诉讼庭审发问策略</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刑事辩护视野下量刑情节的考量</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辩护律师在刑事诉讼中的职责与风险</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环境污染刑事案件中证据审查要点</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我国精神损害国家赔偿标准的完善——以刑事冤假错案为切入点</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民事案件刑事化的危害及对策</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刑民交叉与刑事业务的关系</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刑民交叉案件的概念、类型及处理原则</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刑民交叉案件的类型分析和破解方法论刑民交叉案件的基本范畴</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刑民交叉案件的诉讼模式问题研究</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刑民交叉案件事实问题的探讨</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一事不再理与刑民交叉问题研究</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证明责任与证明标准的刑民视角</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破产债权审核中民刑交叉问题的思考——以合同诈骗为例</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刑民交叉案件的民事基础法律关系判定</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刑民交叉案件中合同效力的认定</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合同纠纷与合同诈骗刑民交叉处理程序初探</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非法集资与民间借贷的界限与刑民处分研究</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集资犯罪刑民并行处理模式之提倡——以被害人认定、救济为视角</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集资类案件刑民交叉处理问题      </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刑民交叉型合同诈骗类案件中民事法律关系处理机制</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商业秘密刑民交叉案件处理模式的困境及其破解</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诈骗犯罪处理中的刑民交叉问题</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刑民交叉案件管辖问题研究。 </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刑民交叉案件分案审理的标准</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刑民交叉案件中的精神损害赔偿问题研究</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办理刑民交叉案件重大疑难问题及解决方案</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刑民交叉案件的司法界定——以不当得利与侵占罪为例</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信用卡纠纷民刑交叉问题的困境与出路</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对刑民交叉案件有关司法解释的理解及刑民交叉案件处理模式</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刑民交叉案件中的既判力问题探析</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论刑民交叉案件的处理——对先刑后民原则的质疑</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刑民交叉视野下的恶意诉讼行为研究</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关于刑民交叉案件中的财产保全</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刑民交叉案件中关于抵押权的处理</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行政机关法定代表人出庭制度施行中的问题及解决办法</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论行政赔偿案件中法官的自由裁量权</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论生态环境案件诉讼专家证人制度</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环境公益诉讼原告主体研究</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环境公益诉讼律师收费机制探析</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环境行政执法中的律师参与</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律师法律服务与生态文明建设</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论内幕交易</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证券监管的法律问题</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金融监管的法律问题</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独立董事的法律问题</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税制改革的法律问题</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论辩护律师的权利保障</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基层政府及新农村建设中的法律服务</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律师办理政府法律业务操作标准研究</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律师如何应对新修改的《行政诉讼法》带来的机遇与挑战</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律师参与立法修法活动及规范性文件制定工作的经验</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扩大法律援助的范围与提高刑事案件辩护率问题研究</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《税收征收管理法》修订问题研究</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在税收征管中践行税收法定原则</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依法保障纳税人提供纳税担保的权利</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增值税立法相关问题初探</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虚开增值税专用发票的定性问题研究</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虚开增值税专用发票的罪与罚</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增值税专用发票的税务管理与纳税人权利保护</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关于“营改增”后的虚开“劳务”增值税发票风险问题</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试论《个人所得税法》的税前扣除标准</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个人所得税的纳税与扣缴问题研究</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个人所得税征管的理论与实践</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股权激励的个人所得税问题</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律师行业税收征管存在的问题与解决方案探讨</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PPP项目涉税问题解析</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《环境保护税法》施行对东北老工业基地的影响</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国际减税趋势下，应给予东北地区老工业基地更多税收优惠以促产业脱困及转型升级</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对房地产税立法的建议</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车船购置税立法必要性探讨</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CRS对纳税人的影响与律师涉税法律服务</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有限合伙企业的所得税问题</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房地产行业的税务风险防范</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房地产开发及项目转让、合作的涉税法律疑难问题</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企业并购重组税收政策影响分析</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金融保险业涉税问题研究</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赋予税务机关更强的税务检查权与纳税人合法权利的保护</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税务机关移送涉税犯罪案件存在的问题与律师涉税刑事辩护</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雄安新区建设过程中的法律服务</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律师行业应为国企改制提供全方位法律服务</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目前律师行业涉税法律服务存在的问题</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新时期律师涉税法律业务前瞻与准备</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律师协会完善、提升律师行业平等、效率、公平执业环境的途径</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律师从事法律业务的资料库和诚信档案与法律服务采购，及律师业务竞争之间的关系</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大数据为律师破产业务拓展提供指引</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互联网企业破产的几个特殊问题的处置</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智慧法院建设对律师处理破产业务工作的影响</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破产程序中通过第三方平台招募重整投资人</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如何利用网络平台召开大型债权人会议</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借助互联网技术实现破产程序中相关文书的高效送达</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通过网络司法拍卖处置破产财产</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充分发挥破产法的经济作用，助力全面深化供给侧改革</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银行债权在破产程序中的限制与保护</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银行贷款合同加速到期清偿在破产程序中的效力问题研究</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破产费用与共益债务投资专项基金解决债务人无产可破困境</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破产程序中税收债权及税务问题研究</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资本在破产重整中的作用</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破产重整需发挥金融作用</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通过破产重组方式推进不良资产处置</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全面深化国企改制需要发挥破产重组的功能</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创新思路，新时代国企改制中“债转股”的实践探索</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“债转股”在破产重整程序中的适用与规范</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债转股中的政府作用定位</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国企改制与预重整的适用</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府院联动机制对推进破产程序的影响</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新时代国企改制中的金融风险防控</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破产法的域外效力</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跨界破产如何开展合作</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外国破产程序在中国的承认与协助制度探讨</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企业并购重组中的劳动关系处理</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外资并购中的反垄断问题研究</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跨境并购的交易结构设计</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并购后企业的整合和优化</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并购引发的法律责任</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外资并购上市公司的法律依据及主要问题</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上市公司并购中律师的作用</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上市公司收购的界定</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上市公司定向增发中的法律问题分析</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上市公司债券业务的法律问题分析</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上市公司并购重组法律问题分析</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资产证券化中的法律问题分析</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三板挂牌业务法律问题分析</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主板上市法律问题分析</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创业板上市法律问题分析</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中小板法律问题分析</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企业香港上市法律问题分析</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企业纳斯达克上市法律问题分析</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企业澳大利亚上市法律问题分析</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企业法兰克福上市法律问题分析</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企业在新兴市场上市法律问题分析</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跨国并购法律问题分析</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企业债券法律问题分析</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中期票据法律问题分析</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海外债券发行法律问题分析</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上市公司受处罚公司的法律问题分析</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上市公司中的法律风险管理</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提升执业质量，防范执业风险的思考</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公司并购中的国有产权问题</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并购重组协议中的涉税条款</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跨境并购中的风险防范</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技术类并购交易中的知识产权问题</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境内并购业务的税务风险</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进入新时代的中国如何开展跨境破产合作</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现代化强国建设对我国破产法域外效力的影响</w:t>
      </w:r>
    </w:p>
    <w:p>
      <w:pPr>
        <w:numPr>
          <w:ilvl w:val="0"/>
          <w:numId w:val="1"/>
        </w:numP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“一带一路”背景下中国企业境外并购的网络安全和数据合规问题</w:t>
      </w:r>
    </w:p>
    <w:p>
      <w:pPr>
        <w:numPr>
          <w:ilvl w:val="0"/>
          <w:numId w:val="1"/>
        </w:numP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法律及文化冲突对中国企业跨境并购的影响</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房地产并购中的若干问题研究</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并购交易中网络尽职调查的重要性</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跨境并购中的境内外行政审批</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医药领域并购中的若干问题研究</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并购重组监管现状</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中国不良资产市场趋势及国际化解不良资产经验的借鉴意义</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商业银行不良资产现状及投资、处置实务模式</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企业金融债务重组的实务探析</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当前企业债务重组的困境与再生之路    </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危困企业妥善处置及破产重整分析</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如何运用市场化方式推进此轮债转股的实施</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律师视角下的并购重组与不良资产处置</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跨境并购、破产与不良资产收购的巨大商机及案例</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监管部门关于并购重组与不良资产处置的最新政策解析</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经济新常态下债权类不良资产的终极处置模式；</w:t>
      </w:r>
    </w:p>
    <w:p>
      <w:pPr>
        <w:numPr>
          <w:ilvl w:val="0"/>
          <w:numId w:val="1"/>
        </w:numP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不良资产给律师业务带来的机遇与挑战</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浅析股东损害债权人利益责任纠纷的实务操作；</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清算程序与清算赔偿责任的关系及案例分析；</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律师角度解读我国现行有关不良资产处置的重要法律法规；</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探析执行与破产的制度衔接及转化；</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实务中股东损害债权人利益责任诉讼的若干焦点问题分析。</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私募基金立法与监管制度研究</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私募投资基金的法律界定</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有限合伙制私募股权基金核心条款法律问题研究</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有限合伙制私募股权基金内部治理制度</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估值调整机制的法律问题研究</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私募基金中“明股实债”的法律效力</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私募股权基金投资人权益保护法律制度</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私募股权基金税收法律问题</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私募股权基金的外汇管制</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并购基金相关法律问题研究</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外商投资私募股权基金法律问题研究</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外资PE中国投资的境内退出法律问题</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外资PE中国投资的境外退出法律问题</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外资PE境外投资的退出法律问题</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离岸基金法律问题研究</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政府引导基金设立与运营中的法律问题</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国资私募股权基金相关法律问题研究</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私募股权基金退出法律问题研究</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私募基金登记备案相关问题研究</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私募基金登记备案法律意见书问题研究</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创业投资基金的保护与规制</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契约制私募基金立法与实务研究</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公司制私募股权基金相关法律问题研究</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私募股权投资协议中补偿、回购条款法律问题研究</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P2P与私募基金相关实务问题研究</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私募证券基金法律问题研究</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私募股权基金投资新三板企业中的法律问题</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私募股权基金投资拟上市企业的法律问题</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私募股权基金争议解决法律问题</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私募股权基金的刑事风险与防范</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证券法律业务中的风险管理问题</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auto"/>
    <w:pitch w:val="default"/>
    <w:sig w:usb0="00000000" w:usb1="0000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大标宋简体">
    <w:altName w:val="微软雅黑"/>
    <w:panose1 w:val="02010601030101010101"/>
    <w:charset w:val="86"/>
    <w:family w:val="auto"/>
    <w:pitch w:val="default"/>
    <w:sig w:usb0="00000000" w:usb1="00000000" w:usb2="00000000" w:usb3="00000000" w:csb0="00040000" w:csb1="00000000"/>
  </w:font>
  <w:font w:name="Arial">
    <w:panose1 w:val="020B0604020202020204"/>
    <w:charset w:val="00"/>
    <w:family w:val="auto"/>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E06F9"/>
    <w:multiLevelType w:val="singleLevel"/>
    <w:tmpl w:val="59CE06F9"/>
    <w:lvl w:ilvl="0" w:tentative="0">
      <w:start w:val="1"/>
      <w:numFmt w:val="decimal"/>
      <w:suff w:val="nothing"/>
      <w:lvlText w:val="%1．"/>
      <w:lvlJc w:val="left"/>
      <w:pPr>
        <w:ind w:left="0" w:firstLine="4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725D96"/>
    <w:rsid w:val="009D7E35"/>
    <w:rsid w:val="00CD7B68"/>
    <w:rsid w:val="00D10C8D"/>
    <w:rsid w:val="013A2BF6"/>
    <w:rsid w:val="04FC145A"/>
    <w:rsid w:val="058B67DC"/>
    <w:rsid w:val="0BBE1063"/>
    <w:rsid w:val="0C4864AA"/>
    <w:rsid w:val="0C5B5388"/>
    <w:rsid w:val="0CCF2CB8"/>
    <w:rsid w:val="13347486"/>
    <w:rsid w:val="13CD07CD"/>
    <w:rsid w:val="16553AB1"/>
    <w:rsid w:val="16992D44"/>
    <w:rsid w:val="17F0698C"/>
    <w:rsid w:val="181F53DC"/>
    <w:rsid w:val="1A597A3C"/>
    <w:rsid w:val="1C2700D0"/>
    <w:rsid w:val="1C7A44B7"/>
    <w:rsid w:val="1D5C015A"/>
    <w:rsid w:val="1DFB2A6A"/>
    <w:rsid w:val="1E9B2F88"/>
    <w:rsid w:val="1F10232F"/>
    <w:rsid w:val="208030D9"/>
    <w:rsid w:val="22976935"/>
    <w:rsid w:val="25956C14"/>
    <w:rsid w:val="26880076"/>
    <w:rsid w:val="26A10E7C"/>
    <w:rsid w:val="271B29B9"/>
    <w:rsid w:val="278610BE"/>
    <w:rsid w:val="27B07DB1"/>
    <w:rsid w:val="27D26945"/>
    <w:rsid w:val="287E268B"/>
    <w:rsid w:val="28DA6208"/>
    <w:rsid w:val="2E001A4B"/>
    <w:rsid w:val="2EC85251"/>
    <w:rsid w:val="33360433"/>
    <w:rsid w:val="346479F6"/>
    <w:rsid w:val="348A2986"/>
    <w:rsid w:val="390B229D"/>
    <w:rsid w:val="39CA27C7"/>
    <w:rsid w:val="3A8C70AE"/>
    <w:rsid w:val="3AA90173"/>
    <w:rsid w:val="3B3F5632"/>
    <w:rsid w:val="3CC1109D"/>
    <w:rsid w:val="3CD519EB"/>
    <w:rsid w:val="3D8E2560"/>
    <w:rsid w:val="3DB90E7F"/>
    <w:rsid w:val="3E5225AE"/>
    <w:rsid w:val="404F61EA"/>
    <w:rsid w:val="41445628"/>
    <w:rsid w:val="431B7B5B"/>
    <w:rsid w:val="43391F6D"/>
    <w:rsid w:val="43866A59"/>
    <w:rsid w:val="43897108"/>
    <w:rsid w:val="46560ED4"/>
    <w:rsid w:val="47856E13"/>
    <w:rsid w:val="48107CC0"/>
    <w:rsid w:val="48271CF6"/>
    <w:rsid w:val="4B90498D"/>
    <w:rsid w:val="4F555D23"/>
    <w:rsid w:val="505D5BE5"/>
    <w:rsid w:val="513D0634"/>
    <w:rsid w:val="522F71A8"/>
    <w:rsid w:val="53CC3429"/>
    <w:rsid w:val="543E1CBC"/>
    <w:rsid w:val="54D85E38"/>
    <w:rsid w:val="54E31D68"/>
    <w:rsid w:val="55696465"/>
    <w:rsid w:val="592A4044"/>
    <w:rsid w:val="5A2C05B1"/>
    <w:rsid w:val="5DF46624"/>
    <w:rsid w:val="5E1934FF"/>
    <w:rsid w:val="5ECB3686"/>
    <w:rsid w:val="60905321"/>
    <w:rsid w:val="61C157DD"/>
    <w:rsid w:val="637D7A54"/>
    <w:rsid w:val="63BB7591"/>
    <w:rsid w:val="63E16B5E"/>
    <w:rsid w:val="67556E9E"/>
    <w:rsid w:val="67AA2B4A"/>
    <w:rsid w:val="68512C70"/>
    <w:rsid w:val="6868560E"/>
    <w:rsid w:val="6A7752BA"/>
    <w:rsid w:val="6A8C724F"/>
    <w:rsid w:val="6AF46752"/>
    <w:rsid w:val="6D3E3F4F"/>
    <w:rsid w:val="6DD062B6"/>
    <w:rsid w:val="6FB074F9"/>
    <w:rsid w:val="700D1A0B"/>
    <w:rsid w:val="71E01280"/>
    <w:rsid w:val="72EC085B"/>
    <w:rsid w:val="746D7D57"/>
    <w:rsid w:val="76725D96"/>
    <w:rsid w:val="780963C2"/>
    <w:rsid w:val="799438AB"/>
    <w:rsid w:val="7AFD1AC8"/>
    <w:rsid w:val="7CC95070"/>
    <w:rsid w:val="7CC970BA"/>
    <w:rsid w:val="7CE00E6D"/>
    <w:rsid w:val="7CE901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6">
    <w:name w:val="Hyperlink"/>
    <w:basedOn w:val="5"/>
    <w:qFormat/>
    <w:uiPriority w:val="0"/>
    <w:rPr>
      <w:color w:val="0000FF"/>
      <w:u w:val="single"/>
    </w:rPr>
  </w:style>
  <w:style w:type="paragraph" w:customStyle="1" w:styleId="8">
    <w:name w:val="列出段落2"/>
    <w:basedOn w:val="1"/>
    <w:qFormat/>
    <w:uiPriority w:val="34"/>
    <w:pPr>
      <w:ind w:firstLine="420" w:firstLineChars="200"/>
    </w:pPr>
    <w:rPr>
      <w:rFonts w:ascii="Calibri" w:hAnsi="Calibri" w:eastAsia="宋体" w:cs="Times New Roman"/>
    </w:rPr>
  </w:style>
  <w:style w:type="paragraph" w:customStyle="1" w:styleId="9">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38</Pages>
  <Words>1938</Words>
  <Characters>11052</Characters>
  <Lines>92</Lines>
  <Paragraphs>25</Paragraphs>
  <ScaleCrop>false</ScaleCrop>
  <LinksUpToDate>false</LinksUpToDate>
  <CharactersWithSpaces>12965</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2017-09-28T09:49:00Z</dcterms:created>
  <dc:creator>Administrator</dc:creator>
  <cp:lastModifiedBy>张东山</cp:lastModifiedBy>
  <cp:lastPrinted>2017-11-06T07:28:00Z</cp:lastPrinted>
  <dcterms:modified xsi:type="dcterms:W3CDTF">2017-11-06T08:40:21Z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